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18FE7" w14:textId="0BAB30AF" w:rsidR="00C05A85" w:rsidRDefault="0056580B" w:rsidP="0049604D">
      <w:pPr>
        <w:spacing w:line="276" w:lineRule="auto"/>
      </w:pPr>
      <w:r>
        <w:rPr>
          <w:noProof/>
        </w:rPr>
        <w:drawing>
          <wp:anchor distT="0" distB="0" distL="114300" distR="114300" simplePos="0" relativeHeight="251658241" behindDoc="1" locked="0" layoutInCell="1" allowOverlap="1" wp14:anchorId="7FB6F666" wp14:editId="31881940">
            <wp:simplePos x="0" y="0"/>
            <wp:positionH relativeFrom="page">
              <wp:posOffset>636</wp:posOffset>
            </wp:positionH>
            <wp:positionV relativeFrom="paragraph">
              <wp:posOffset>-541867</wp:posOffset>
            </wp:positionV>
            <wp:extent cx="7560000" cy="1981452"/>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0000" cy="19814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A67AF" w14:textId="7EE4ED13" w:rsidR="005F516C" w:rsidRDefault="005F516C" w:rsidP="0049604D">
      <w:pPr>
        <w:pStyle w:val="Heading1"/>
        <w:jc w:val="right"/>
      </w:pPr>
    </w:p>
    <w:p w14:paraId="10EF9246" w14:textId="72275C36" w:rsidR="00A575F2" w:rsidRPr="00E665BF" w:rsidRDefault="00A575F2" w:rsidP="0049604D">
      <w:pPr>
        <w:pStyle w:val="Heading1"/>
        <w:tabs>
          <w:tab w:val="left" w:pos="8227"/>
        </w:tabs>
      </w:pPr>
      <w:bookmarkStart w:id="0" w:name="_Toc72481135"/>
      <w:bookmarkStart w:id="1" w:name="_Toc72483776"/>
    </w:p>
    <w:p w14:paraId="4AF7E16B" w14:textId="77777777" w:rsidR="0056580B" w:rsidRDefault="0056580B" w:rsidP="0049604D">
      <w:pPr>
        <w:pStyle w:val="Heading3"/>
        <w:numPr>
          <w:ilvl w:val="0"/>
          <w:numId w:val="0"/>
        </w:numPr>
        <w:ind w:left="567" w:hanging="567"/>
        <w:rPr>
          <w:sz w:val="40"/>
          <w:szCs w:val="40"/>
        </w:rPr>
      </w:pPr>
      <w:bookmarkStart w:id="2" w:name="_Toc77169806"/>
    </w:p>
    <w:p w14:paraId="7F9A5B1F" w14:textId="7CB9CE2D" w:rsidR="009C2D68" w:rsidRPr="0056580B" w:rsidRDefault="00886605" w:rsidP="0049604D">
      <w:pPr>
        <w:pStyle w:val="Heading3"/>
        <w:numPr>
          <w:ilvl w:val="0"/>
          <w:numId w:val="0"/>
        </w:numPr>
        <w:ind w:left="567" w:hanging="567"/>
        <w:rPr>
          <w:sz w:val="48"/>
          <w:szCs w:val="48"/>
        </w:rPr>
      </w:pPr>
      <w:r w:rsidRPr="0056580B">
        <w:rPr>
          <w:sz w:val="48"/>
          <w:szCs w:val="48"/>
        </w:rPr>
        <w:t xml:space="preserve">Housing </w:t>
      </w:r>
      <w:r w:rsidR="0056580B" w:rsidRPr="0056580B">
        <w:rPr>
          <w:sz w:val="48"/>
          <w:szCs w:val="48"/>
        </w:rPr>
        <w:t>&amp;</w:t>
      </w:r>
      <w:r w:rsidRPr="0056580B">
        <w:rPr>
          <w:sz w:val="48"/>
          <w:szCs w:val="48"/>
        </w:rPr>
        <w:t xml:space="preserve"> Support Manual</w:t>
      </w:r>
      <w:bookmarkEnd w:id="0"/>
      <w:bookmarkEnd w:id="1"/>
      <w:bookmarkEnd w:id="2"/>
      <w:r w:rsidR="009C2D68" w:rsidRPr="0056580B">
        <w:rPr>
          <w:sz w:val="48"/>
          <w:szCs w:val="48"/>
        </w:rPr>
        <w:t xml:space="preserve"> </w:t>
      </w:r>
      <w:r w:rsidR="0056580B" w:rsidRPr="0056580B">
        <w:rPr>
          <w:sz w:val="48"/>
          <w:szCs w:val="48"/>
        </w:rPr>
        <w:t>e</w:t>
      </w:r>
      <w:r w:rsidR="009C2D68" w:rsidRPr="0056580B">
        <w:rPr>
          <w:sz w:val="48"/>
          <w:szCs w:val="48"/>
        </w:rPr>
        <w:t>xtract</w:t>
      </w:r>
      <w:r w:rsidR="0056580B" w:rsidRPr="0056580B">
        <w:rPr>
          <w:sz w:val="48"/>
          <w:szCs w:val="48"/>
        </w:rPr>
        <w:t>:</w:t>
      </w:r>
    </w:p>
    <w:p w14:paraId="45F70707" w14:textId="39A32F9A" w:rsidR="00C83475" w:rsidRPr="00886605" w:rsidRDefault="009C2D68" w:rsidP="0049604D">
      <w:pPr>
        <w:pStyle w:val="Heading3"/>
        <w:numPr>
          <w:ilvl w:val="0"/>
          <w:numId w:val="0"/>
        </w:numPr>
        <w:ind w:left="567" w:hanging="567"/>
        <w:rPr>
          <w:sz w:val="40"/>
          <w:szCs w:val="40"/>
        </w:rPr>
      </w:pPr>
      <w:r>
        <w:rPr>
          <w:sz w:val="40"/>
          <w:szCs w:val="40"/>
        </w:rPr>
        <w:t>Anti-</w:t>
      </w:r>
      <w:r w:rsidR="00B74F9E">
        <w:rPr>
          <w:sz w:val="40"/>
          <w:szCs w:val="40"/>
        </w:rPr>
        <w:t>s</w:t>
      </w:r>
      <w:r>
        <w:rPr>
          <w:sz w:val="40"/>
          <w:szCs w:val="40"/>
        </w:rPr>
        <w:t xml:space="preserve">ocial </w:t>
      </w:r>
      <w:r w:rsidR="00B74F9E">
        <w:rPr>
          <w:sz w:val="40"/>
          <w:szCs w:val="40"/>
        </w:rPr>
        <w:t>b</w:t>
      </w:r>
      <w:r>
        <w:rPr>
          <w:sz w:val="40"/>
          <w:szCs w:val="40"/>
        </w:rPr>
        <w:t>ehaviour</w:t>
      </w:r>
    </w:p>
    <w:tbl>
      <w:tblPr>
        <w:tblStyle w:val="TableGrid"/>
        <w:tblW w:w="0" w:type="auto"/>
        <w:tblInd w:w="19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5325"/>
        <w:gridCol w:w="4598"/>
      </w:tblGrid>
      <w:tr w:rsidR="00FE0497" w14:paraId="5FF66BAC" w14:textId="77777777" w:rsidTr="0056580B">
        <w:tc>
          <w:tcPr>
            <w:tcW w:w="5325" w:type="dxa"/>
          </w:tcPr>
          <w:p w14:paraId="30D56B50" w14:textId="30B655BD" w:rsidR="00FE0497" w:rsidRPr="0016052F" w:rsidRDefault="00FE0497" w:rsidP="0049604D">
            <w:pPr>
              <w:spacing w:line="276" w:lineRule="auto"/>
              <w:rPr>
                <w:bCs/>
              </w:rPr>
            </w:pPr>
            <w:r w:rsidRPr="0016052F">
              <w:rPr>
                <w:bCs/>
              </w:rPr>
              <w:t>Policy author</w:t>
            </w:r>
            <w:r w:rsidR="003176A6">
              <w:rPr>
                <w:bCs/>
              </w:rPr>
              <w:t xml:space="preserve"> (name and title)</w:t>
            </w:r>
          </w:p>
        </w:tc>
        <w:tc>
          <w:tcPr>
            <w:tcW w:w="4598" w:type="dxa"/>
          </w:tcPr>
          <w:p w14:paraId="0682B8C1" w14:textId="66DD4669" w:rsidR="00FE0497" w:rsidRDefault="286AE5D1" w:rsidP="0049604D">
            <w:pPr>
              <w:spacing w:line="276" w:lineRule="auto"/>
            </w:pPr>
            <w:r>
              <w:t>Business Improvement Team</w:t>
            </w:r>
          </w:p>
        </w:tc>
      </w:tr>
      <w:tr w:rsidR="00FE0497" w14:paraId="5C7AB94F" w14:textId="77777777" w:rsidTr="0056580B">
        <w:tc>
          <w:tcPr>
            <w:tcW w:w="5325" w:type="dxa"/>
          </w:tcPr>
          <w:p w14:paraId="0B8DA218" w14:textId="78D2B54E" w:rsidR="00FE0497" w:rsidRPr="0016052F" w:rsidRDefault="003176A6" w:rsidP="0049604D">
            <w:pPr>
              <w:spacing w:line="276" w:lineRule="auto"/>
              <w:rPr>
                <w:bCs/>
              </w:rPr>
            </w:pPr>
            <w:r>
              <w:rPr>
                <w:bCs/>
              </w:rPr>
              <w:t>Executive approval date</w:t>
            </w:r>
            <w:r w:rsidR="00CA6AC1">
              <w:rPr>
                <w:bCs/>
              </w:rPr>
              <w:t xml:space="preserve"> </w:t>
            </w:r>
          </w:p>
        </w:tc>
        <w:tc>
          <w:tcPr>
            <w:tcW w:w="4598" w:type="dxa"/>
          </w:tcPr>
          <w:p w14:paraId="539028D1" w14:textId="7AECB26D" w:rsidR="00FE0497" w:rsidRDefault="009C2D68" w:rsidP="0049604D">
            <w:pPr>
              <w:spacing w:line="276" w:lineRule="auto"/>
            </w:pPr>
            <w:r>
              <w:t>N/A</w:t>
            </w:r>
          </w:p>
        </w:tc>
      </w:tr>
      <w:tr w:rsidR="003176A6" w14:paraId="18B6D601" w14:textId="77777777" w:rsidTr="0056580B">
        <w:tc>
          <w:tcPr>
            <w:tcW w:w="5325" w:type="dxa"/>
          </w:tcPr>
          <w:p w14:paraId="58D575FA" w14:textId="6E9FA6CA" w:rsidR="003176A6" w:rsidRDefault="003176A6" w:rsidP="0049604D">
            <w:pPr>
              <w:spacing w:line="276" w:lineRule="auto"/>
              <w:rPr>
                <w:bCs/>
              </w:rPr>
            </w:pPr>
            <w:r>
              <w:rPr>
                <w:bCs/>
              </w:rPr>
              <w:t>Board / Committee approval date</w:t>
            </w:r>
          </w:p>
        </w:tc>
        <w:tc>
          <w:tcPr>
            <w:tcW w:w="4598" w:type="dxa"/>
          </w:tcPr>
          <w:p w14:paraId="101BE1EC" w14:textId="7789AA86" w:rsidR="003176A6" w:rsidRDefault="009C2D68" w:rsidP="0049604D">
            <w:pPr>
              <w:spacing w:line="276" w:lineRule="auto"/>
            </w:pPr>
            <w:r>
              <w:t>7 February 2022</w:t>
            </w:r>
          </w:p>
        </w:tc>
      </w:tr>
      <w:tr w:rsidR="00FE0497" w14:paraId="4F9F0D82" w14:textId="77777777" w:rsidTr="0056580B">
        <w:tc>
          <w:tcPr>
            <w:tcW w:w="5325" w:type="dxa"/>
          </w:tcPr>
          <w:p w14:paraId="6B23EE4D" w14:textId="7844BFC0" w:rsidR="00FE0497" w:rsidRPr="0016052F" w:rsidRDefault="003176A6" w:rsidP="0049604D">
            <w:pPr>
              <w:spacing w:line="276" w:lineRule="auto"/>
              <w:rPr>
                <w:bCs/>
              </w:rPr>
            </w:pPr>
            <w:r>
              <w:rPr>
                <w:bCs/>
              </w:rPr>
              <w:t xml:space="preserve">Review </w:t>
            </w:r>
            <w:r w:rsidR="003159A8">
              <w:rPr>
                <w:bCs/>
              </w:rPr>
              <w:t>frequency</w:t>
            </w:r>
          </w:p>
        </w:tc>
        <w:tc>
          <w:tcPr>
            <w:tcW w:w="4598" w:type="dxa"/>
          </w:tcPr>
          <w:p w14:paraId="5C7A01AC" w14:textId="787520C3" w:rsidR="00FE0497" w:rsidRDefault="003176A6" w:rsidP="0049604D">
            <w:pPr>
              <w:spacing w:line="276" w:lineRule="auto"/>
            </w:pPr>
            <w:r>
              <w:t>3 year</w:t>
            </w:r>
            <w:r w:rsidR="02094494">
              <w:t>s</w:t>
            </w:r>
          </w:p>
        </w:tc>
      </w:tr>
      <w:tr w:rsidR="003159A8" w14:paraId="237D3111" w14:textId="77777777" w:rsidTr="0056580B">
        <w:tc>
          <w:tcPr>
            <w:tcW w:w="5325" w:type="dxa"/>
          </w:tcPr>
          <w:p w14:paraId="14B768B4" w14:textId="3B3B2B6A" w:rsidR="003159A8" w:rsidRDefault="003159A8" w:rsidP="0049604D">
            <w:pPr>
              <w:spacing w:line="276" w:lineRule="auto"/>
              <w:rPr>
                <w:bCs/>
              </w:rPr>
            </w:pPr>
            <w:r>
              <w:rPr>
                <w:bCs/>
              </w:rPr>
              <w:t>Next Review Date</w:t>
            </w:r>
          </w:p>
        </w:tc>
        <w:tc>
          <w:tcPr>
            <w:tcW w:w="4598" w:type="dxa"/>
          </w:tcPr>
          <w:p w14:paraId="5B388CC4" w14:textId="1FFB477D" w:rsidR="003159A8" w:rsidRDefault="30D13EC7" w:rsidP="0049604D">
            <w:pPr>
              <w:spacing w:line="276" w:lineRule="auto"/>
            </w:pPr>
            <w:r>
              <w:t>October 2024</w:t>
            </w:r>
          </w:p>
        </w:tc>
      </w:tr>
      <w:tr w:rsidR="00FE0497" w14:paraId="11FDB206" w14:textId="77777777" w:rsidTr="0056580B">
        <w:tc>
          <w:tcPr>
            <w:tcW w:w="5325" w:type="dxa"/>
          </w:tcPr>
          <w:p w14:paraId="23D60EE4" w14:textId="662E6D33" w:rsidR="00FE0497" w:rsidRPr="0016052F" w:rsidRDefault="00FE0497" w:rsidP="0049604D">
            <w:pPr>
              <w:spacing w:line="276" w:lineRule="auto"/>
              <w:rPr>
                <w:bCs/>
              </w:rPr>
            </w:pPr>
            <w:r w:rsidRPr="0016052F">
              <w:rPr>
                <w:bCs/>
              </w:rPr>
              <w:t>Version number</w:t>
            </w:r>
            <w:r w:rsidR="003159A8">
              <w:rPr>
                <w:bCs/>
              </w:rPr>
              <w:t xml:space="preserve"> </w:t>
            </w:r>
          </w:p>
        </w:tc>
        <w:tc>
          <w:tcPr>
            <w:tcW w:w="4598" w:type="dxa"/>
          </w:tcPr>
          <w:p w14:paraId="6606126C" w14:textId="362484AB" w:rsidR="00FE0497" w:rsidRDefault="003E07B0" w:rsidP="0049604D">
            <w:pPr>
              <w:spacing w:line="276" w:lineRule="auto"/>
            </w:pPr>
            <w:r>
              <w:t>1.0</w:t>
            </w:r>
          </w:p>
        </w:tc>
      </w:tr>
      <w:tr w:rsidR="0016052F" w14:paraId="126ED4E5" w14:textId="77777777" w:rsidTr="0056580B">
        <w:tc>
          <w:tcPr>
            <w:tcW w:w="5325" w:type="dxa"/>
          </w:tcPr>
          <w:p w14:paraId="3BE1799B" w14:textId="0BA7F66C" w:rsidR="0016052F" w:rsidRPr="0016052F" w:rsidRDefault="0016052F" w:rsidP="0049604D">
            <w:pPr>
              <w:spacing w:line="276" w:lineRule="auto"/>
              <w:rPr>
                <w:bCs/>
              </w:rPr>
            </w:pPr>
            <w:r w:rsidRPr="0016052F">
              <w:rPr>
                <w:bCs/>
              </w:rPr>
              <w:t>Has the Client Forum</w:t>
            </w:r>
            <w:r w:rsidR="003176A6">
              <w:rPr>
                <w:bCs/>
              </w:rPr>
              <w:t xml:space="preserve"> been consulted on this policy?</w:t>
            </w:r>
            <w:r w:rsidRPr="0016052F">
              <w:rPr>
                <w:bCs/>
              </w:rPr>
              <w:t xml:space="preserve"> (if applicable)?</w:t>
            </w:r>
          </w:p>
        </w:tc>
        <w:tc>
          <w:tcPr>
            <w:tcW w:w="4598" w:type="dxa"/>
          </w:tcPr>
          <w:p w14:paraId="540301F4" w14:textId="239621B7" w:rsidR="003176A6" w:rsidRDefault="003176A6" w:rsidP="0049604D">
            <w:pPr>
              <w:spacing w:line="276" w:lineRule="auto"/>
            </w:pPr>
            <w:r>
              <w:t>No</w:t>
            </w:r>
          </w:p>
        </w:tc>
      </w:tr>
      <w:tr w:rsidR="00FE0497" w14:paraId="3AEC4D4C" w14:textId="77777777" w:rsidTr="0056580B">
        <w:tc>
          <w:tcPr>
            <w:tcW w:w="5325" w:type="dxa"/>
          </w:tcPr>
          <w:p w14:paraId="40EA1435" w14:textId="6814D954" w:rsidR="00FE0497" w:rsidRPr="0016052F" w:rsidRDefault="003176A6" w:rsidP="0049604D">
            <w:pPr>
              <w:spacing w:line="276" w:lineRule="auto"/>
              <w:rPr>
                <w:bCs/>
              </w:rPr>
            </w:pPr>
            <w:r>
              <w:rPr>
                <w:bCs/>
              </w:rPr>
              <w:t>Who does this policy apply to?</w:t>
            </w:r>
          </w:p>
        </w:tc>
        <w:tc>
          <w:tcPr>
            <w:tcW w:w="4598" w:type="dxa"/>
          </w:tcPr>
          <w:p w14:paraId="6F1605E0" w14:textId="63F38ECA" w:rsidR="00FE0497" w:rsidRDefault="00FE0497" w:rsidP="0049604D">
            <w:pPr>
              <w:spacing w:line="276" w:lineRule="auto"/>
            </w:pPr>
            <w:r>
              <w:t xml:space="preserve">All </w:t>
            </w:r>
            <w:r w:rsidR="1979EEA8">
              <w:t>Operational Staff</w:t>
            </w:r>
          </w:p>
        </w:tc>
      </w:tr>
    </w:tbl>
    <w:p w14:paraId="165E3E3E" w14:textId="77777777" w:rsidR="008C1589" w:rsidRDefault="008C1589" w:rsidP="0049604D">
      <w:pPr>
        <w:spacing w:line="276" w:lineRule="auto"/>
      </w:pPr>
    </w:p>
    <w:p w14:paraId="38869E00" w14:textId="77777777" w:rsidR="008C1589" w:rsidRDefault="008C1589" w:rsidP="0049604D">
      <w:pPr>
        <w:spacing w:line="276" w:lineRule="auto"/>
      </w:pPr>
    </w:p>
    <w:p w14:paraId="5573B969" w14:textId="1CA161B6" w:rsidR="00FE0497" w:rsidRDefault="00FE0497" w:rsidP="0049604D">
      <w:pPr>
        <w:spacing w:line="276" w:lineRule="auto"/>
        <w:rPr>
          <w:b/>
          <w:bCs/>
          <w:color w:val="228830"/>
          <w:sz w:val="24"/>
          <w:szCs w:val="28"/>
        </w:rPr>
      </w:pPr>
    </w:p>
    <w:p w14:paraId="762E450D" w14:textId="77777777" w:rsidR="00A575F2" w:rsidRDefault="00A575F2" w:rsidP="0049604D">
      <w:pPr>
        <w:spacing w:line="276" w:lineRule="auto"/>
      </w:pPr>
    </w:p>
    <w:p w14:paraId="539CCBBB" w14:textId="6C174B13" w:rsidR="00FE0497" w:rsidRDefault="00FE0497" w:rsidP="0049604D">
      <w:pPr>
        <w:pStyle w:val="Heading2"/>
        <w:spacing w:after="120"/>
      </w:pPr>
      <w:bookmarkStart w:id="3" w:name="_Toc53568080"/>
      <w:bookmarkStart w:id="4" w:name="_Toc53569336"/>
      <w:bookmarkStart w:id="5" w:name="_Toc53571037"/>
      <w:bookmarkStart w:id="6" w:name="_Toc53571103"/>
      <w:bookmarkStart w:id="7" w:name="_Toc53750610"/>
      <w:bookmarkStart w:id="8" w:name="_Toc72481136"/>
      <w:bookmarkStart w:id="9" w:name="_Toc72483777"/>
      <w:bookmarkStart w:id="10" w:name="_Toc77169807"/>
      <w:r w:rsidRPr="00FE0497">
        <w:rPr>
          <w:sz w:val="28"/>
          <w:szCs w:val="28"/>
        </w:rPr>
        <w:t>Values</w:t>
      </w:r>
      <w:bookmarkEnd w:id="3"/>
      <w:bookmarkEnd w:id="4"/>
      <w:bookmarkEnd w:id="5"/>
      <w:bookmarkEnd w:id="6"/>
      <w:bookmarkEnd w:id="7"/>
      <w:bookmarkEnd w:id="8"/>
      <w:bookmarkEnd w:id="9"/>
      <w:bookmarkEnd w:id="10"/>
    </w:p>
    <w:tbl>
      <w:tblPr>
        <w:tblStyle w:val="TableGrid"/>
        <w:tblW w:w="0" w:type="auto"/>
        <w:tblInd w:w="19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Look w:val="04A0" w:firstRow="1" w:lastRow="0" w:firstColumn="1" w:lastColumn="0" w:noHBand="0" w:noVBand="1"/>
      </w:tblPr>
      <w:tblGrid>
        <w:gridCol w:w="4961"/>
        <w:gridCol w:w="4962"/>
      </w:tblGrid>
      <w:tr w:rsidR="00FE0497" w14:paraId="3581348D" w14:textId="77777777" w:rsidTr="4724DC84">
        <w:tc>
          <w:tcPr>
            <w:tcW w:w="4961" w:type="dxa"/>
          </w:tcPr>
          <w:p w14:paraId="4140B5ED" w14:textId="5E261DB9" w:rsidR="00FE0497" w:rsidRPr="00FE0497" w:rsidRDefault="00FE0497" w:rsidP="0049604D">
            <w:pPr>
              <w:pStyle w:val="Heading3"/>
              <w:numPr>
                <w:ilvl w:val="0"/>
                <w:numId w:val="0"/>
              </w:numPr>
            </w:pPr>
            <w:bookmarkStart w:id="11" w:name="_Toc53568081"/>
            <w:bookmarkStart w:id="12" w:name="_Toc53569337"/>
            <w:bookmarkStart w:id="13" w:name="_Toc53571038"/>
            <w:bookmarkStart w:id="14" w:name="_Toc53571104"/>
            <w:bookmarkStart w:id="15" w:name="_Toc53750611"/>
            <w:bookmarkStart w:id="16" w:name="_Toc72481137"/>
            <w:bookmarkStart w:id="17" w:name="_Toc72483778"/>
            <w:bookmarkStart w:id="18" w:name="_Toc77169808"/>
            <w:r w:rsidRPr="00FE0497">
              <w:t>Respect</w:t>
            </w:r>
            <w:bookmarkEnd w:id="11"/>
            <w:bookmarkEnd w:id="12"/>
            <w:bookmarkEnd w:id="13"/>
            <w:bookmarkEnd w:id="14"/>
            <w:bookmarkEnd w:id="15"/>
            <w:bookmarkEnd w:id="16"/>
            <w:bookmarkEnd w:id="17"/>
            <w:bookmarkEnd w:id="18"/>
          </w:p>
        </w:tc>
        <w:tc>
          <w:tcPr>
            <w:tcW w:w="4962" w:type="dxa"/>
          </w:tcPr>
          <w:p w14:paraId="6A901BA3" w14:textId="2B15C7BA" w:rsidR="00FE0497" w:rsidRPr="00FE0497" w:rsidRDefault="00FE0497" w:rsidP="0049604D">
            <w:pPr>
              <w:pStyle w:val="Heading3"/>
              <w:numPr>
                <w:ilvl w:val="0"/>
                <w:numId w:val="0"/>
              </w:numPr>
            </w:pPr>
            <w:bookmarkStart w:id="19" w:name="_Toc53568082"/>
            <w:bookmarkStart w:id="20" w:name="_Toc53569338"/>
            <w:bookmarkStart w:id="21" w:name="_Toc53571039"/>
            <w:bookmarkStart w:id="22" w:name="_Toc53571105"/>
            <w:bookmarkStart w:id="23" w:name="_Toc53750612"/>
            <w:bookmarkStart w:id="24" w:name="_Toc72481138"/>
            <w:bookmarkStart w:id="25" w:name="_Toc72483779"/>
            <w:bookmarkStart w:id="26" w:name="_Toc77169809"/>
            <w:r w:rsidRPr="00FE0497">
              <w:t>Empowerment</w:t>
            </w:r>
            <w:bookmarkEnd w:id="19"/>
            <w:bookmarkEnd w:id="20"/>
            <w:bookmarkEnd w:id="21"/>
            <w:bookmarkEnd w:id="22"/>
            <w:bookmarkEnd w:id="23"/>
            <w:bookmarkEnd w:id="24"/>
            <w:bookmarkEnd w:id="25"/>
            <w:bookmarkEnd w:id="26"/>
          </w:p>
        </w:tc>
      </w:tr>
      <w:tr w:rsidR="00FE0497" w14:paraId="2E413A42" w14:textId="77777777" w:rsidTr="4724DC84">
        <w:tc>
          <w:tcPr>
            <w:tcW w:w="4961" w:type="dxa"/>
          </w:tcPr>
          <w:p w14:paraId="38C9D41F" w14:textId="77777777" w:rsidR="00FE0497" w:rsidRPr="00F35A0E" w:rsidRDefault="00FE0497" w:rsidP="00FF71B6">
            <w:pPr>
              <w:pStyle w:val="ListParagraph"/>
              <w:numPr>
                <w:ilvl w:val="0"/>
                <w:numId w:val="9"/>
              </w:numPr>
              <w:spacing w:line="276" w:lineRule="auto"/>
              <w:rPr>
                <w:b/>
              </w:rPr>
            </w:pPr>
            <w:bookmarkStart w:id="27" w:name="_Toc53568083"/>
            <w:bookmarkStart w:id="28" w:name="_Toc53569339"/>
            <w:bookmarkStart w:id="29" w:name="_Toc53571040"/>
            <w:bookmarkStart w:id="30" w:name="_Toc53571106"/>
            <w:bookmarkStart w:id="31" w:name="_Toc53750613"/>
            <w:r>
              <w:t>Value diversity and fairness</w:t>
            </w:r>
            <w:bookmarkEnd w:id="27"/>
            <w:bookmarkEnd w:id="28"/>
            <w:bookmarkEnd w:id="29"/>
            <w:bookmarkEnd w:id="30"/>
            <w:bookmarkEnd w:id="31"/>
          </w:p>
          <w:p w14:paraId="31DB8D5E" w14:textId="77777777" w:rsidR="00FE0497" w:rsidRPr="00F35A0E" w:rsidRDefault="00FE0497" w:rsidP="00FF71B6">
            <w:pPr>
              <w:pStyle w:val="ListParagraph"/>
              <w:numPr>
                <w:ilvl w:val="0"/>
                <w:numId w:val="9"/>
              </w:numPr>
              <w:spacing w:line="276" w:lineRule="auto"/>
              <w:rPr>
                <w:b/>
              </w:rPr>
            </w:pPr>
            <w:bookmarkStart w:id="32" w:name="_Toc53568084"/>
            <w:bookmarkStart w:id="33" w:name="_Toc53569340"/>
            <w:bookmarkStart w:id="34" w:name="_Toc53571041"/>
            <w:bookmarkStart w:id="35" w:name="_Toc53571107"/>
            <w:bookmarkStart w:id="36" w:name="_Toc53750614"/>
            <w:r>
              <w:t>Act with honesty and integrity</w:t>
            </w:r>
            <w:bookmarkEnd w:id="32"/>
            <w:bookmarkEnd w:id="33"/>
            <w:bookmarkEnd w:id="34"/>
            <w:bookmarkEnd w:id="35"/>
            <w:bookmarkEnd w:id="36"/>
          </w:p>
          <w:p w14:paraId="4ECB1C66" w14:textId="77777777" w:rsidR="00FE0497" w:rsidRPr="00F35A0E" w:rsidRDefault="00FE0497" w:rsidP="00FF71B6">
            <w:pPr>
              <w:pStyle w:val="ListParagraph"/>
              <w:numPr>
                <w:ilvl w:val="0"/>
                <w:numId w:val="9"/>
              </w:numPr>
              <w:spacing w:line="276" w:lineRule="auto"/>
              <w:rPr>
                <w:b/>
              </w:rPr>
            </w:pPr>
            <w:bookmarkStart w:id="37" w:name="_Toc53568085"/>
            <w:bookmarkStart w:id="38" w:name="_Toc53569341"/>
            <w:bookmarkStart w:id="39" w:name="_Toc53571042"/>
            <w:bookmarkStart w:id="40" w:name="_Toc53571108"/>
            <w:bookmarkStart w:id="41" w:name="_Toc53750615"/>
            <w:r>
              <w:t>Treat people with care and compassion</w:t>
            </w:r>
            <w:bookmarkEnd w:id="37"/>
            <w:bookmarkEnd w:id="38"/>
            <w:bookmarkEnd w:id="39"/>
            <w:bookmarkEnd w:id="40"/>
            <w:bookmarkEnd w:id="41"/>
          </w:p>
        </w:tc>
        <w:tc>
          <w:tcPr>
            <w:tcW w:w="4962" w:type="dxa"/>
          </w:tcPr>
          <w:p w14:paraId="610D594F" w14:textId="77777777" w:rsidR="00FE0497" w:rsidRPr="00F35A0E" w:rsidRDefault="00FE0497" w:rsidP="00FF71B6">
            <w:pPr>
              <w:pStyle w:val="ListParagraph"/>
              <w:numPr>
                <w:ilvl w:val="0"/>
                <w:numId w:val="10"/>
              </w:numPr>
              <w:spacing w:line="276" w:lineRule="auto"/>
              <w:rPr>
                <w:b/>
              </w:rPr>
            </w:pPr>
            <w:bookmarkStart w:id="42" w:name="_Toc53568086"/>
            <w:bookmarkStart w:id="43" w:name="_Toc53569342"/>
            <w:bookmarkStart w:id="44" w:name="_Toc53571043"/>
            <w:bookmarkStart w:id="45" w:name="_Toc53571109"/>
            <w:bookmarkStart w:id="46" w:name="_Toc53750616"/>
            <w:r>
              <w:t>Support the needs of each individual</w:t>
            </w:r>
            <w:bookmarkEnd w:id="42"/>
            <w:bookmarkEnd w:id="43"/>
            <w:bookmarkEnd w:id="44"/>
            <w:bookmarkEnd w:id="45"/>
            <w:bookmarkEnd w:id="46"/>
          </w:p>
          <w:p w14:paraId="582806E3" w14:textId="77777777" w:rsidR="00FE0497" w:rsidRPr="00F35A0E" w:rsidRDefault="00FE0497" w:rsidP="00FF71B6">
            <w:pPr>
              <w:pStyle w:val="ListParagraph"/>
              <w:numPr>
                <w:ilvl w:val="0"/>
                <w:numId w:val="10"/>
              </w:numPr>
              <w:spacing w:line="276" w:lineRule="auto"/>
              <w:rPr>
                <w:b/>
              </w:rPr>
            </w:pPr>
            <w:bookmarkStart w:id="47" w:name="_Toc53568087"/>
            <w:bookmarkStart w:id="48" w:name="_Toc53569343"/>
            <w:bookmarkStart w:id="49" w:name="_Toc53571044"/>
            <w:bookmarkStart w:id="50" w:name="_Toc53571110"/>
            <w:bookmarkStart w:id="51" w:name="_Toc53750617"/>
            <w:r>
              <w:t>Encourage personal development and independence</w:t>
            </w:r>
            <w:bookmarkEnd w:id="47"/>
            <w:bookmarkEnd w:id="48"/>
            <w:bookmarkEnd w:id="49"/>
            <w:bookmarkEnd w:id="50"/>
            <w:bookmarkEnd w:id="51"/>
          </w:p>
          <w:p w14:paraId="129D0E7B" w14:textId="77777777" w:rsidR="00FE0497" w:rsidRPr="00F35A0E" w:rsidRDefault="00FE0497" w:rsidP="00FF71B6">
            <w:pPr>
              <w:pStyle w:val="ListParagraph"/>
              <w:numPr>
                <w:ilvl w:val="0"/>
                <w:numId w:val="10"/>
              </w:numPr>
              <w:spacing w:line="276" w:lineRule="auto"/>
              <w:rPr>
                <w:b/>
              </w:rPr>
            </w:pPr>
            <w:bookmarkStart w:id="52" w:name="_Toc53568088"/>
            <w:bookmarkStart w:id="53" w:name="_Toc53569344"/>
            <w:bookmarkStart w:id="54" w:name="_Toc53571045"/>
            <w:bookmarkStart w:id="55" w:name="_Toc53571111"/>
            <w:bookmarkStart w:id="56" w:name="_Toc53750618"/>
            <w:r>
              <w:t>Provide safety, stability and security</w:t>
            </w:r>
            <w:bookmarkEnd w:id="52"/>
            <w:bookmarkEnd w:id="53"/>
            <w:bookmarkEnd w:id="54"/>
            <w:bookmarkEnd w:id="55"/>
            <w:bookmarkEnd w:id="56"/>
          </w:p>
        </w:tc>
      </w:tr>
      <w:tr w:rsidR="00FE0497" w14:paraId="43772214" w14:textId="77777777" w:rsidTr="4724DC84">
        <w:tc>
          <w:tcPr>
            <w:tcW w:w="4961" w:type="dxa"/>
          </w:tcPr>
          <w:p w14:paraId="1764CAF3" w14:textId="71578DF6" w:rsidR="00FE0497" w:rsidRPr="00FE0497" w:rsidRDefault="00FE0497" w:rsidP="0049604D">
            <w:pPr>
              <w:pStyle w:val="Heading3"/>
              <w:numPr>
                <w:ilvl w:val="0"/>
                <w:numId w:val="0"/>
              </w:numPr>
            </w:pPr>
            <w:bookmarkStart w:id="57" w:name="_Toc53568089"/>
            <w:bookmarkStart w:id="58" w:name="_Toc53569345"/>
            <w:bookmarkStart w:id="59" w:name="_Toc53571046"/>
            <w:bookmarkStart w:id="60" w:name="_Toc53571112"/>
            <w:bookmarkStart w:id="61" w:name="_Toc53750619"/>
            <w:bookmarkStart w:id="62" w:name="_Toc72481139"/>
            <w:bookmarkStart w:id="63" w:name="_Toc72483780"/>
            <w:bookmarkStart w:id="64" w:name="_Toc77169810"/>
            <w:r>
              <w:t>Responsibility</w:t>
            </w:r>
            <w:bookmarkEnd w:id="57"/>
            <w:bookmarkEnd w:id="58"/>
            <w:bookmarkEnd w:id="59"/>
            <w:bookmarkEnd w:id="60"/>
            <w:bookmarkEnd w:id="61"/>
            <w:bookmarkEnd w:id="62"/>
            <w:bookmarkEnd w:id="63"/>
            <w:bookmarkEnd w:id="64"/>
            <w:r>
              <w:t xml:space="preserve"> </w:t>
            </w:r>
          </w:p>
        </w:tc>
        <w:tc>
          <w:tcPr>
            <w:tcW w:w="4962" w:type="dxa"/>
          </w:tcPr>
          <w:p w14:paraId="10CA7F02" w14:textId="62DB062D" w:rsidR="00FE0497" w:rsidRPr="00FE0497" w:rsidRDefault="00FE0497" w:rsidP="0049604D">
            <w:pPr>
              <w:pStyle w:val="Heading3"/>
              <w:numPr>
                <w:ilvl w:val="0"/>
                <w:numId w:val="0"/>
              </w:numPr>
            </w:pPr>
            <w:bookmarkStart w:id="65" w:name="_Toc53568090"/>
            <w:bookmarkStart w:id="66" w:name="_Toc53569346"/>
            <w:bookmarkStart w:id="67" w:name="_Toc53571047"/>
            <w:bookmarkStart w:id="68" w:name="_Toc53571113"/>
            <w:bookmarkStart w:id="69" w:name="_Toc53750620"/>
            <w:bookmarkStart w:id="70" w:name="_Toc72481140"/>
            <w:bookmarkStart w:id="71" w:name="_Toc72483781"/>
            <w:bookmarkStart w:id="72" w:name="_Toc77169811"/>
            <w:r>
              <w:t>Excellence</w:t>
            </w:r>
            <w:bookmarkEnd w:id="65"/>
            <w:bookmarkEnd w:id="66"/>
            <w:bookmarkEnd w:id="67"/>
            <w:bookmarkEnd w:id="68"/>
            <w:bookmarkEnd w:id="69"/>
            <w:bookmarkEnd w:id="70"/>
            <w:bookmarkEnd w:id="71"/>
            <w:bookmarkEnd w:id="72"/>
          </w:p>
        </w:tc>
      </w:tr>
      <w:tr w:rsidR="00FE0497" w14:paraId="2EA7FAD4" w14:textId="77777777" w:rsidTr="4724DC84">
        <w:tc>
          <w:tcPr>
            <w:tcW w:w="4961" w:type="dxa"/>
          </w:tcPr>
          <w:p w14:paraId="4C633580" w14:textId="77777777" w:rsidR="00FE0497" w:rsidRPr="00F35A0E" w:rsidRDefault="00FE0497" w:rsidP="00FF71B6">
            <w:pPr>
              <w:pStyle w:val="ListParagraph"/>
              <w:numPr>
                <w:ilvl w:val="0"/>
                <w:numId w:val="8"/>
              </w:numPr>
              <w:spacing w:line="276" w:lineRule="auto"/>
              <w:rPr>
                <w:b/>
              </w:rPr>
            </w:pPr>
            <w:bookmarkStart w:id="73" w:name="_Toc53568091"/>
            <w:bookmarkStart w:id="74" w:name="_Toc53569347"/>
            <w:bookmarkStart w:id="75" w:name="_Toc53571048"/>
            <w:bookmarkStart w:id="76" w:name="_Toc53571114"/>
            <w:bookmarkStart w:id="77" w:name="_Toc53750621"/>
            <w:r>
              <w:t>Work together, in partnership</w:t>
            </w:r>
            <w:bookmarkEnd w:id="73"/>
            <w:bookmarkEnd w:id="74"/>
            <w:bookmarkEnd w:id="75"/>
            <w:bookmarkEnd w:id="76"/>
            <w:bookmarkEnd w:id="77"/>
          </w:p>
          <w:p w14:paraId="15086058" w14:textId="77777777" w:rsidR="00FE0497" w:rsidRPr="00F35A0E" w:rsidRDefault="00FE0497" w:rsidP="00FF71B6">
            <w:pPr>
              <w:pStyle w:val="ListParagraph"/>
              <w:numPr>
                <w:ilvl w:val="0"/>
                <w:numId w:val="8"/>
              </w:numPr>
              <w:spacing w:line="276" w:lineRule="auto"/>
              <w:rPr>
                <w:b/>
              </w:rPr>
            </w:pPr>
            <w:bookmarkStart w:id="78" w:name="_Toc53568092"/>
            <w:bookmarkStart w:id="79" w:name="_Toc53569348"/>
            <w:bookmarkStart w:id="80" w:name="_Toc53571049"/>
            <w:bookmarkStart w:id="81" w:name="_Toc53571115"/>
            <w:bookmarkStart w:id="82" w:name="_Toc53750622"/>
            <w:r>
              <w:t>Take responsibility for our actions</w:t>
            </w:r>
            <w:bookmarkEnd w:id="78"/>
            <w:bookmarkEnd w:id="79"/>
            <w:bookmarkEnd w:id="80"/>
            <w:bookmarkEnd w:id="81"/>
            <w:bookmarkEnd w:id="82"/>
          </w:p>
          <w:p w14:paraId="7D64D892" w14:textId="77777777" w:rsidR="00FE0497" w:rsidRPr="00F35A0E" w:rsidRDefault="00FE0497" w:rsidP="00FF71B6">
            <w:pPr>
              <w:pStyle w:val="ListParagraph"/>
              <w:numPr>
                <w:ilvl w:val="0"/>
                <w:numId w:val="8"/>
              </w:numPr>
              <w:spacing w:line="276" w:lineRule="auto"/>
              <w:rPr>
                <w:b/>
              </w:rPr>
            </w:pPr>
            <w:bookmarkStart w:id="83" w:name="_Toc53568093"/>
            <w:bookmarkStart w:id="84" w:name="_Toc53569349"/>
            <w:bookmarkStart w:id="85" w:name="_Toc53571050"/>
            <w:bookmarkStart w:id="86" w:name="_Toc53571116"/>
            <w:bookmarkStart w:id="87" w:name="_Toc53750623"/>
            <w:r>
              <w:t>Continue learning and improving</w:t>
            </w:r>
            <w:bookmarkEnd w:id="83"/>
            <w:bookmarkEnd w:id="84"/>
            <w:bookmarkEnd w:id="85"/>
            <w:bookmarkEnd w:id="86"/>
            <w:bookmarkEnd w:id="87"/>
          </w:p>
        </w:tc>
        <w:tc>
          <w:tcPr>
            <w:tcW w:w="4962" w:type="dxa"/>
          </w:tcPr>
          <w:p w14:paraId="20D5599E" w14:textId="77777777" w:rsidR="00FE0497" w:rsidRPr="00F35A0E" w:rsidRDefault="00FE0497" w:rsidP="00FF71B6">
            <w:pPr>
              <w:pStyle w:val="ListParagraph"/>
              <w:numPr>
                <w:ilvl w:val="0"/>
                <w:numId w:val="8"/>
              </w:numPr>
              <w:spacing w:line="276" w:lineRule="auto"/>
              <w:rPr>
                <w:b/>
              </w:rPr>
            </w:pPr>
            <w:bookmarkStart w:id="88" w:name="_Toc53568094"/>
            <w:bookmarkStart w:id="89" w:name="_Toc53569350"/>
            <w:bookmarkStart w:id="90" w:name="_Toc53571051"/>
            <w:bookmarkStart w:id="91" w:name="_Toc53571117"/>
            <w:bookmarkStart w:id="92" w:name="_Toc53750624"/>
            <w:r>
              <w:t>Provide a first-class service</w:t>
            </w:r>
            <w:bookmarkEnd w:id="88"/>
            <w:bookmarkEnd w:id="89"/>
            <w:bookmarkEnd w:id="90"/>
            <w:bookmarkEnd w:id="91"/>
            <w:bookmarkEnd w:id="92"/>
          </w:p>
          <w:p w14:paraId="33DBD08D" w14:textId="77777777" w:rsidR="00FE0497" w:rsidRPr="00F35A0E" w:rsidRDefault="00FE0497" w:rsidP="00FF71B6">
            <w:pPr>
              <w:pStyle w:val="ListParagraph"/>
              <w:numPr>
                <w:ilvl w:val="0"/>
                <w:numId w:val="8"/>
              </w:numPr>
              <w:spacing w:line="276" w:lineRule="auto"/>
              <w:rPr>
                <w:b/>
              </w:rPr>
            </w:pPr>
            <w:bookmarkStart w:id="93" w:name="_Toc53568095"/>
            <w:bookmarkStart w:id="94" w:name="_Toc53569351"/>
            <w:bookmarkStart w:id="95" w:name="_Toc53571052"/>
            <w:bookmarkStart w:id="96" w:name="_Toc53571118"/>
            <w:bookmarkStart w:id="97" w:name="_Toc53750625"/>
            <w:r>
              <w:t>Deliver excellent value for money</w:t>
            </w:r>
            <w:bookmarkEnd w:id="93"/>
            <w:bookmarkEnd w:id="94"/>
            <w:bookmarkEnd w:id="95"/>
            <w:bookmarkEnd w:id="96"/>
            <w:bookmarkEnd w:id="97"/>
          </w:p>
          <w:p w14:paraId="12DC7603" w14:textId="77777777" w:rsidR="00FE0497" w:rsidRPr="00F35A0E" w:rsidRDefault="00FE0497" w:rsidP="00FF71B6">
            <w:pPr>
              <w:pStyle w:val="ListParagraph"/>
              <w:numPr>
                <w:ilvl w:val="0"/>
                <w:numId w:val="8"/>
              </w:numPr>
              <w:spacing w:line="276" w:lineRule="auto"/>
              <w:rPr>
                <w:b/>
              </w:rPr>
            </w:pPr>
            <w:bookmarkStart w:id="98" w:name="_Toc53568096"/>
            <w:bookmarkStart w:id="99" w:name="_Toc53569352"/>
            <w:bookmarkStart w:id="100" w:name="_Toc53571053"/>
            <w:bookmarkStart w:id="101" w:name="_Toc53571119"/>
            <w:bookmarkStart w:id="102" w:name="_Toc53750626"/>
            <w:r>
              <w:t>Explore innovative ways of working</w:t>
            </w:r>
            <w:bookmarkEnd w:id="98"/>
            <w:bookmarkEnd w:id="99"/>
            <w:bookmarkEnd w:id="100"/>
            <w:bookmarkEnd w:id="101"/>
            <w:bookmarkEnd w:id="102"/>
          </w:p>
        </w:tc>
      </w:tr>
    </w:tbl>
    <w:p w14:paraId="372FBD1F" w14:textId="77777777" w:rsidR="00CF3C2A" w:rsidRDefault="00CF3C2A" w:rsidP="0049604D">
      <w:pPr>
        <w:pStyle w:val="ListNumber"/>
        <w:numPr>
          <w:ilvl w:val="0"/>
          <w:numId w:val="0"/>
        </w:numPr>
      </w:pPr>
    </w:p>
    <w:p w14:paraId="34DA4935" w14:textId="77777777" w:rsidR="0056580B" w:rsidRDefault="0056580B" w:rsidP="0049604D">
      <w:pPr>
        <w:spacing w:line="276" w:lineRule="auto"/>
        <w:rPr>
          <w:b/>
          <w:bCs/>
          <w:color w:val="ACC811"/>
        </w:rPr>
      </w:pPr>
      <w:bookmarkStart w:id="103" w:name="_Toc77169828"/>
      <w:r>
        <w:br w:type="page"/>
      </w:r>
    </w:p>
    <w:p w14:paraId="44156F38" w14:textId="3552B498" w:rsidR="00066DD5" w:rsidRPr="0056580B" w:rsidRDefault="00066DD5" w:rsidP="0049604D">
      <w:pPr>
        <w:pStyle w:val="Heading4"/>
        <w:ind w:firstLine="0"/>
        <w:rPr>
          <w:sz w:val="28"/>
          <w:szCs w:val="32"/>
        </w:rPr>
      </w:pPr>
      <w:r w:rsidRPr="0056580B">
        <w:rPr>
          <w:sz w:val="28"/>
          <w:szCs w:val="32"/>
        </w:rPr>
        <w:lastRenderedPageBreak/>
        <w:t>Anti-</w:t>
      </w:r>
      <w:r w:rsidR="0056580B">
        <w:rPr>
          <w:sz w:val="28"/>
          <w:szCs w:val="32"/>
        </w:rPr>
        <w:t>s</w:t>
      </w:r>
      <w:r w:rsidRPr="0056580B">
        <w:rPr>
          <w:sz w:val="28"/>
          <w:szCs w:val="32"/>
        </w:rPr>
        <w:t xml:space="preserve">ocial </w:t>
      </w:r>
      <w:r w:rsidR="0056580B">
        <w:rPr>
          <w:sz w:val="28"/>
          <w:szCs w:val="32"/>
        </w:rPr>
        <w:t>b</w:t>
      </w:r>
      <w:r w:rsidRPr="0056580B">
        <w:rPr>
          <w:sz w:val="28"/>
          <w:szCs w:val="32"/>
        </w:rPr>
        <w:t>ehaviour</w:t>
      </w:r>
      <w:bookmarkEnd w:id="103"/>
    </w:p>
    <w:p w14:paraId="1A51DFDF" w14:textId="0F92A81D" w:rsidR="00FB0273" w:rsidRPr="0056580B" w:rsidRDefault="00FB0273" w:rsidP="0049604D">
      <w:pPr>
        <w:pStyle w:val="ListNumber"/>
        <w:spacing w:after="60"/>
        <w:rPr>
          <w:lang w:val="en-US"/>
        </w:rPr>
      </w:pPr>
      <w:r w:rsidRPr="00FB0273">
        <w:rPr>
          <w:lang w:val="en-US"/>
        </w:rPr>
        <w:t xml:space="preserve">Transform recognises the harmful impact that anti-social behaviour (ASB) can have both on our clients and the wider community. We are committed to tackling all forms of ASB at the earliest possible opportunity and promoting a culture of respect and tolerance. To achieve </w:t>
      </w:r>
      <w:r w:rsidR="008E7C64" w:rsidRPr="00FB0273">
        <w:rPr>
          <w:lang w:val="en-US"/>
        </w:rPr>
        <w:t>this,</w:t>
      </w:r>
      <w:r w:rsidRPr="00FB0273">
        <w:rPr>
          <w:lang w:val="en-US"/>
        </w:rPr>
        <w:t xml:space="preserve"> we will:</w:t>
      </w:r>
    </w:p>
    <w:p w14:paraId="3B41185F" w14:textId="77777777" w:rsidR="00FB0273" w:rsidRPr="00FB0273" w:rsidRDefault="00FB0273" w:rsidP="00FF71B6">
      <w:pPr>
        <w:pStyle w:val="ListNumber"/>
        <w:numPr>
          <w:ilvl w:val="0"/>
          <w:numId w:val="15"/>
        </w:numPr>
        <w:rPr>
          <w:lang w:val="en-US"/>
        </w:rPr>
      </w:pPr>
      <w:r w:rsidRPr="4724DC84">
        <w:rPr>
          <w:lang w:val="en-US"/>
        </w:rPr>
        <w:t>Work to prevent ASB before it occurs. This will include raising awareness of anti-social behaviour issues and providing information to clients.</w:t>
      </w:r>
    </w:p>
    <w:p w14:paraId="4B50B7DF" w14:textId="77777777" w:rsidR="00FB0273" w:rsidRPr="00FB0273" w:rsidRDefault="00FB0273" w:rsidP="00FF71B6">
      <w:pPr>
        <w:pStyle w:val="ListNumber"/>
        <w:numPr>
          <w:ilvl w:val="0"/>
          <w:numId w:val="15"/>
        </w:numPr>
        <w:rPr>
          <w:lang w:val="en-US"/>
        </w:rPr>
      </w:pPr>
      <w:r w:rsidRPr="4724DC84">
        <w:rPr>
          <w:lang w:val="en-US"/>
        </w:rPr>
        <w:t>Respond promptly to all reports where it is alleged that our clients, or visitors of our clients, are perpetrators of ASB</w:t>
      </w:r>
    </w:p>
    <w:p w14:paraId="72AACB2A" w14:textId="0A6E4ECE" w:rsidR="00FB0273" w:rsidRDefault="00FB0273" w:rsidP="00FF71B6">
      <w:pPr>
        <w:pStyle w:val="ListNumber"/>
        <w:numPr>
          <w:ilvl w:val="0"/>
          <w:numId w:val="15"/>
        </w:numPr>
        <w:rPr>
          <w:lang w:val="en-US"/>
        </w:rPr>
      </w:pPr>
      <w:r w:rsidRPr="4724DC84">
        <w:rPr>
          <w:lang w:val="en-US"/>
        </w:rPr>
        <w:t>Work with and support any of our clients who experience ASB</w:t>
      </w:r>
    </w:p>
    <w:p w14:paraId="3A94053D" w14:textId="77777777" w:rsidR="00FB0273" w:rsidRDefault="00FB0273" w:rsidP="0049604D">
      <w:pPr>
        <w:pStyle w:val="ListNumber"/>
        <w:numPr>
          <w:ilvl w:val="0"/>
          <w:numId w:val="0"/>
        </w:numPr>
        <w:ind w:left="567"/>
        <w:rPr>
          <w:lang w:val="en-US"/>
        </w:rPr>
      </w:pPr>
    </w:p>
    <w:p w14:paraId="3C23C43D" w14:textId="77777777" w:rsidR="0056580B" w:rsidRDefault="0056580B" w:rsidP="0049604D">
      <w:pPr>
        <w:pStyle w:val="ListNumber"/>
        <w:numPr>
          <w:ilvl w:val="0"/>
          <w:numId w:val="0"/>
        </w:numPr>
        <w:ind w:left="567"/>
        <w:rPr>
          <w:lang w:val="en-US"/>
        </w:rPr>
      </w:pPr>
    </w:p>
    <w:p w14:paraId="050420E3" w14:textId="419D79F3" w:rsidR="00FB0273" w:rsidRPr="0056580B" w:rsidRDefault="00FB0273" w:rsidP="0049604D">
      <w:pPr>
        <w:pStyle w:val="ListNumber"/>
        <w:numPr>
          <w:ilvl w:val="0"/>
          <w:numId w:val="0"/>
        </w:numPr>
        <w:spacing w:after="120"/>
        <w:rPr>
          <w:b/>
          <w:bCs/>
          <w:lang w:val="en-US"/>
        </w:rPr>
      </w:pPr>
      <w:r w:rsidRPr="00FB0273">
        <w:rPr>
          <w:b/>
          <w:bCs/>
          <w:lang w:val="en-US"/>
        </w:rPr>
        <w:t>Definitions</w:t>
      </w:r>
    </w:p>
    <w:p w14:paraId="79F91F46" w14:textId="205F0D66" w:rsidR="0056580B" w:rsidRDefault="00FB0273" w:rsidP="0049604D">
      <w:pPr>
        <w:pStyle w:val="ListNumber"/>
        <w:spacing w:after="60"/>
      </w:pPr>
      <w:r>
        <w:t xml:space="preserve">ASB as defined under the </w:t>
      </w:r>
      <w:r>
        <w:rPr>
          <w:rFonts w:asciiTheme="minorHAnsi" w:hAnsiTheme="minorHAnsi" w:cstheme="minorHAnsi"/>
          <w:szCs w:val="22"/>
        </w:rPr>
        <w:t xml:space="preserve">Anti-Social Behaviour, Crime and Policing Act 2014 is:  </w:t>
      </w:r>
    </w:p>
    <w:p w14:paraId="05A7C17B" w14:textId="77777777" w:rsidR="00FB0273" w:rsidRPr="003F6E51" w:rsidRDefault="00FB0273" w:rsidP="00FF71B6">
      <w:pPr>
        <w:pStyle w:val="ListParagraph"/>
        <w:numPr>
          <w:ilvl w:val="0"/>
          <w:numId w:val="16"/>
        </w:numPr>
        <w:spacing w:line="276" w:lineRule="auto"/>
        <w:rPr>
          <w:lang w:val="en-US"/>
        </w:rPr>
      </w:pPr>
      <w:r w:rsidRPr="003F6E51">
        <w:rPr>
          <w:lang w:val="en-US"/>
        </w:rPr>
        <w:t>Conduct that has caused, or is likely to cause, harassment, alarm or distress to any person,</w:t>
      </w:r>
    </w:p>
    <w:p w14:paraId="0FB63100" w14:textId="38CA805F" w:rsidR="00FB0273" w:rsidRPr="003F6E51" w:rsidRDefault="00FB0273" w:rsidP="00FF71B6">
      <w:pPr>
        <w:pStyle w:val="ListParagraph"/>
        <w:numPr>
          <w:ilvl w:val="0"/>
          <w:numId w:val="16"/>
        </w:numPr>
        <w:spacing w:line="276" w:lineRule="auto"/>
        <w:rPr>
          <w:lang w:val="en-US"/>
        </w:rPr>
      </w:pPr>
      <w:r w:rsidRPr="003F6E51">
        <w:rPr>
          <w:lang w:val="en-US"/>
        </w:rPr>
        <w:t xml:space="preserve">Conduct capable of causing nuisance or annoyance to a person in relation to that person’s occupation of </w:t>
      </w:r>
      <w:r w:rsidR="00420F5B" w:rsidRPr="003F6E51">
        <w:rPr>
          <w:lang w:val="en-US"/>
        </w:rPr>
        <w:t>client</w:t>
      </w:r>
      <w:r w:rsidRPr="003F6E51">
        <w:rPr>
          <w:lang w:val="en-US"/>
        </w:rPr>
        <w:t xml:space="preserve"> premises, or</w:t>
      </w:r>
    </w:p>
    <w:p w14:paraId="5B829202" w14:textId="77777777" w:rsidR="00FB0273" w:rsidRPr="003F6E51" w:rsidRDefault="00FB0273" w:rsidP="00FF71B6">
      <w:pPr>
        <w:pStyle w:val="ListParagraph"/>
        <w:numPr>
          <w:ilvl w:val="0"/>
          <w:numId w:val="16"/>
        </w:numPr>
        <w:spacing w:line="276" w:lineRule="auto"/>
        <w:rPr>
          <w:lang w:val="en-US"/>
        </w:rPr>
      </w:pPr>
      <w:r w:rsidRPr="003F6E51">
        <w:rPr>
          <w:lang w:val="en-US"/>
        </w:rPr>
        <w:t>Conduct capable of causing housing-related nuisance or annoyance to any person</w:t>
      </w:r>
    </w:p>
    <w:p w14:paraId="3B283BBB" w14:textId="47696721" w:rsidR="00FB0273" w:rsidRDefault="00FB0273" w:rsidP="0049604D">
      <w:pPr>
        <w:spacing w:line="276" w:lineRule="auto"/>
        <w:rPr>
          <w:rFonts w:asciiTheme="minorHAnsi" w:hAnsiTheme="minorHAnsi" w:cstheme="minorHAnsi"/>
          <w:szCs w:val="22"/>
        </w:rPr>
      </w:pPr>
    </w:p>
    <w:p w14:paraId="4CDA7048" w14:textId="5793F167" w:rsidR="00FB0273" w:rsidRDefault="00FB0273" w:rsidP="0049604D">
      <w:pPr>
        <w:pStyle w:val="ListNumber"/>
        <w:spacing w:after="60"/>
      </w:pPr>
      <w:r>
        <w:t xml:space="preserve">Examples of ASB include: </w:t>
      </w:r>
    </w:p>
    <w:p w14:paraId="21FFC330"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Persistent noise nuisance</w:t>
      </w:r>
    </w:p>
    <w:p w14:paraId="6BEFC3EE"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Intimidation and harassment whether intended or perceived</w:t>
      </w:r>
    </w:p>
    <w:p w14:paraId="683C63D7"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Threats of violence and actual violence</w:t>
      </w:r>
    </w:p>
    <w:p w14:paraId="6FCF1BF9"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Threatening language and/or behaviour</w:t>
      </w:r>
    </w:p>
    <w:p w14:paraId="77711CBC"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The use of spray paints etc. for graffiti</w:t>
      </w:r>
    </w:p>
    <w:p w14:paraId="49684D1C"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Racial, homophobic, sexist or other discriminatory language</w:t>
      </w:r>
    </w:p>
    <w:p w14:paraId="41630BE8"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Trading in illegal drugs</w:t>
      </w:r>
    </w:p>
    <w:p w14:paraId="0FCC89DE" w14:textId="639F6F75" w:rsidR="00FB0273" w:rsidRPr="003F6E51" w:rsidRDefault="00FB0273" w:rsidP="00FF71B6">
      <w:pPr>
        <w:pStyle w:val="ListParagraph"/>
        <w:numPr>
          <w:ilvl w:val="0"/>
          <w:numId w:val="17"/>
        </w:numPr>
        <w:spacing w:line="276" w:lineRule="auto"/>
        <w:rPr>
          <w:rFonts w:cs="Arial"/>
          <w:szCs w:val="22"/>
        </w:rPr>
      </w:pPr>
      <w:r w:rsidRPr="003F6E51">
        <w:rPr>
          <w:rFonts w:cs="Arial"/>
        </w:rPr>
        <w:t xml:space="preserve">Use of a </w:t>
      </w:r>
      <w:r w:rsidR="00272CFA" w:rsidRPr="003F6E51">
        <w:rPr>
          <w:rFonts w:cs="Arial"/>
        </w:rPr>
        <w:t>client</w:t>
      </w:r>
      <w:r w:rsidRPr="003F6E51">
        <w:rPr>
          <w:rFonts w:cs="Arial"/>
        </w:rPr>
        <w:t xml:space="preserve"> property for any illegal or immoral activity</w:t>
      </w:r>
    </w:p>
    <w:p w14:paraId="34D1C12C"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Vandalism and criminal damage</w:t>
      </w:r>
    </w:p>
    <w:p w14:paraId="6DEC7F50"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Nuisance from vehicles</w:t>
      </w:r>
    </w:p>
    <w:p w14:paraId="24DD0119" w14:textId="77777777" w:rsidR="00FB0273" w:rsidRPr="003F6E51" w:rsidRDefault="00FB0273" w:rsidP="00FF71B6">
      <w:pPr>
        <w:pStyle w:val="ListParagraph"/>
        <w:numPr>
          <w:ilvl w:val="0"/>
          <w:numId w:val="17"/>
        </w:numPr>
        <w:spacing w:line="276" w:lineRule="auto"/>
        <w:rPr>
          <w:rFonts w:cs="Arial"/>
          <w:szCs w:val="22"/>
        </w:rPr>
      </w:pPr>
      <w:r w:rsidRPr="003F6E51">
        <w:rPr>
          <w:rFonts w:cs="Arial"/>
        </w:rPr>
        <w:t>Behaviour linked to alcohol or drug abuse</w:t>
      </w:r>
    </w:p>
    <w:p w14:paraId="4D7FD840" w14:textId="672AF223" w:rsidR="00FB0273" w:rsidRDefault="00FB0273" w:rsidP="0049604D">
      <w:pPr>
        <w:spacing w:line="276" w:lineRule="auto"/>
        <w:rPr>
          <w:rFonts w:asciiTheme="minorHAnsi" w:hAnsiTheme="minorHAnsi" w:cstheme="minorHAnsi"/>
          <w:szCs w:val="22"/>
        </w:rPr>
      </w:pPr>
    </w:p>
    <w:p w14:paraId="788D2C5A" w14:textId="77777777" w:rsidR="0056580B" w:rsidRDefault="0056580B" w:rsidP="0049604D">
      <w:pPr>
        <w:spacing w:line="276" w:lineRule="auto"/>
        <w:rPr>
          <w:rFonts w:asciiTheme="minorHAnsi" w:hAnsiTheme="minorHAnsi" w:cstheme="minorHAnsi"/>
          <w:szCs w:val="22"/>
        </w:rPr>
      </w:pPr>
    </w:p>
    <w:p w14:paraId="6A7203B0" w14:textId="2F6E41B7" w:rsidR="00347165" w:rsidRPr="0056580B" w:rsidRDefault="00347165" w:rsidP="0049604D">
      <w:pPr>
        <w:pStyle w:val="ListNumber"/>
        <w:numPr>
          <w:ilvl w:val="0"/>
          <w:numId w:val="0"/>
        </w:numPr>
        <w:spacing w:after="120"/>
        <w:rPr>
          <w:b/>
          <w:bCs/>
          <w:lang w:val="en-US"/>
        </w:rPr>
      </w:pPr>
      <w:r w:rsidRPr="0056580B">
        <w:rPr>
          <w:b/>
          <w:bCs/>
          <w:lang w:val="en-US"/>
        </w:rPr>
        <w:t>Prevention of ASB</w:t>
      </w:r>
    </w:p>
    <w:p w14:paraId="12C5765E" w14:textId="77777777" w:rsidR="00347165" w:rsidRDefault="00347165" w:rsidP="0049604D">
      <w:pPr>
        <w:pStyle w:val="ListNumber"/>
      </w:pPr>
      <w:r>
        <w:t xml:space="preserve">The interaction between Transform clients and the communities in which they are based should be one of mutual benefit and tolerance. Through working closely with clients and tackling the causes which underlie anti-social behaviour, we seek to prevent ASB from occurring in the first place. </w:t>
      </w:r>
    </w:p>
    <w:p w14:paraId="7FB1D634" w14:textId="1AA0B089" w:rsidR="00347165" w:rsidRDefault="00347165" w:rsidP="0049604D">
      <w:pPr>
        <w:pStyle w:val="ListNumber"/>
        <w:numPr>
          <w:ilvl w:val="0"/>
          <w:numId w:val="0"/>
        </w:numPr>
        <w:spacing w:after="60"/>
        <w:ind w:left="567"/>
      </w:pPr>
      <w:r>
        <w:t>Examples of action taken by Transform to prevent ASB include:</w:t>
      </w:r>
    </w:p>
    <w:p w14:paraId="759CD01A" w14:textId="77777777" w:rsidR="00347165" w:rsidRDefault="00347165" w:rsidP="00FF71B6">
      <w:pPr>
        <w:pStyle w:val="ListNumber"/>
        <w:numPr>
          <w:ilvl w:val="0"/>
          <w:numId w:val="18"/>
        </w:numPr>
      </w:pPr>
      <w:r>
        <w:t>Clearly worded tenancy and licence agreements and house rules which explain that ASB will not be tolerated</w:t>
      </w:r>
    </w:p>
    <w:p w14:paraId="1BE85D4C" w14:textId="77777777" w:rsidR="00347165" w:rsidRDefault="00347165" w:rsidP="00FF71B6">
      <w:pPr>
        <w:pStyle w:val="ListNumber"/>
        <w:numPr>
          <w:ilvl w:val="0"/>
          <w:numId w:val="18"/>
        </w:numPr>
      </w:pPr>
      <w:r>
        <w:t xml:space="preserve">A client leaflet explaining our approach to ASB and the action Transform will take should ASB occur </w:t>
      </w:r>
    </w:p>
    <w:p w14:paraId="3C4FFD28" w14:textId="77777777" w:rsidR="00347165" w:rsidRDefault="00347165" w:rsidP="00FF71B6">
      <w:pPr>
        <w:pStyle w:val="ListNumber"/>
        <w:numPr>
          <w:ilvl w:val="0"/>
          <w:numId w:val="18"/>
        </w:numPr>
      </w:pPr>
      <w:r>
        <w:t>Helping clients to identify behaviour which others may consider anti-social and providing them with support to address this behaviour</w:t>
      </w:r>
    </w:p>
    <w:p w14:paraId="63AFCB7C" w14:textId="77777777" w:rsidR="00347165" w:rsidRDefault="00347165" w:rsidP="00FF71B6">
      <w:pPr>
        <w:pStyle w:val="ListNumber"/>
        <w:numPr>
          <w:ilvl w:val="0"/>
          <w:numId w:val="18"/>
        </w:numPr>
      </w:pPr>
      <w:r>
        <w:t>Working alongside other agencies, such as drug and alcohol support agencies and mental health support services, to ensure clients receive appropriate support</w:t>
      </w:r>
    </w:p>
    <w:p w14:paraId="6A1E39B9" w14:textId="4D3E15A1" w:rsidR="00347165" w:rsidRDefault="00347165" w:rsidP="00FF71B6">
      <w:pPr>
        <w:pStyle w:val="ListNumber"/>
        <w:numPr>
          <w:ilvl w:val="0"/>
          <w:numId w:val="18"/>
        </w:numPr>
      </w:pPr>
      <w:r>
        <w:t>Close liaison with partner agencies (please see below)</w:t>
      </w:r>
    </w:p>
    <w:p w14:paraId="61D09FD2" w14:textId="2F63EED6" w:rsidR="00347165" w:rsidRDefault="00347165" w:rsidP="0049604D">
      <w:pPr>
        <w:pStyle w:val="ListNumber"/>
        <w:numPr>
          <w:ilvl w:val="0"/>
          <w:numId w:val="0"/>
        </w:numPr>
        <w:ind w:left="927"/>
      </w:pPr>
    </w:p>
    <w:p w14:paraId="42F461B9" w14:textId="77777777" w:rsidR="0049604D" w:rsidRDefault="0049604D" w:rsidP="0049604D">
      <w:pPr>
        <w:pStyle w:val="ListNumber"/>
        <w:numPr>
          <w:ilvl w:val="0"/>
          <w:numId w:val="0"/>
        </w:numPr>
        <w:ind w:left="927"/>
      </w:pPr>
    </w:p>
    <w:p w14:paraId="1660F690" w14:textId="77777777" w:rsidR="0056580B" w:rsidRDefault="0056580B" w:rsidP="0049604D">
      <w:pPr>
        <w:pStyle w:val="ListNumber"/>
        <w:numPr>
          <w:ilvl w:val="0"/>
          <w:numId w:val="0"/>
        </w:numPr>
        <w:ind w:left="567" w:hanging="567"/>
        <w:rPr>
          <w:b/>
          <w:bCs/>
        </w:rPr>
      </w:pPr>
    </w:p>
    <w:p w14:paraId="2DAFAC8D" w14:textId="534BA157" w:rsidR="00721CCF" w:rsidRPr="0056580B" w:rsidRDefault="001B03AD" w:rsidP="0049604D">
      <w:pPr>
        <w:pStyle w:val="ListNumber"/>
        <w:numPr>
          <w:ilvl w:val="0"/>
          <w:numId w:val="0"/>
        </w:numPr>
        <w:spacing w:after="120"/>
        <w:rPr>
          <w:b/>
          <w:bCs/>
          <w:lang w:val="en-US"/>
        </w:rPr>
      </w:pPr>
      <w:r w:rsidRPr="0056580B">
        <w:rPr>
          <w:b/>
          <w:bCs/>
          <w:lang w:val="en-US"/>
        </w:rPr>
        <w:lastRenderedPageBreak/>
        <w:t>Responding to ASB</w:t>
      </w:r>
    </w:p>
    <w:p w14:paraId="4A118E7B" w14:textId="477B599D" w:rsidR="001B03AD" w:rsidRDefault="001B03AD" w:rsidP="0049604D">
      <w:pPr>
        <w:pStyle w:val="ListNumber"/>
      </w:pPr>
      <w:r>
        <w:t xml:space="preserve">Despite the preventative actions identified above, sometimes ASB will occur. When it does, </w:t>
      </w:r>
    </w:p>
    <w:p w14:paraId="2B61DA1E" w14:textId="3C39F3D0" w:rsidR="001B03AD" w:rsidRDefault="001B03AD" w:rsidP="0049604D">
      <w:pPr>
        <w:pStyle w:val="ListNumber"/>
        <w:numPr>
          <w:ilvl w:val="0"/>
          <w:numId w:val="0"/>
        </w:numPr>
        <w:spacing w:after="120"/>
        <w:ind w:left="567"/>
      </w:pPr>
      <w:r>
        <w:t>Transform will:</w:t>
      </w:r>
    </w:p>
    <w:p w14:paraId="3DC859F6"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Take all reports of ASB seriously</w:t>
      </w:r>
    </w:p>
    <w:p w14:paraId="4A301220"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Not pre-judge the situation</w:t>
      </w:r>
    </w:p>
    <w:p w14:paraId="313434B6"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Support clients throughout the process</w:t>
      </w:r>
    </w:p>
    <w:p w14:paraId="3AD6F0DA"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Advise complainants to report any criminal activity to the police</w:t>
      </w:r>
    </w:p>
    <w:p w14:paraId="62E2A0A7"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Work with the complainant to collect evidence relating to ASB</w:t>
      </w:r>
    </w:p>
    <w:p w14:paraId="2B3A0F1F"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Assess and monitor risk</w:t>
      </w:r>
    </w:p>
    <w:p w14:paraId="6D62D3AD"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Keep the complainant informed of developments</w:t>
      </w:r>
    </w:p>
    <w:p w14:paraId="035F95A1" w14:textId="77777777" w:rsidR="001B03AD" w:rsidRPr="001B03AD" w:rsidRDefault="001B03AD" w:rsidP="00FF71B6">
      <w:pPr>
        <w:pStyle w:val="ListParagraph"/>
        <w:numPr>
          <w:ilvl w:val="0"/>
          <w:numId w:val="12"/>
        </w:numPr>
        <w:spacing w:line="276" w:lineRule="auto"/>
        <w:rPr>
          <w:rFonts w:cs="Arial"/>
          <w:szCs w:val="22"/>
        </w:rPr>
      </w:pPr>
      <w:r w:rsidRPr="4724DC84">
        <w:rPr>
          <w:rFonts w:cs="Arial"/>
        </w:rPr>
        <w:t>Intervene at an early stage to prevent ASB from escalating</w:t>
      </w:r>
    </w:p>
    <w:p w14:paraId="0698579A" w14:textId="77777777" w:rsidR="00A522AC" w:rsidRDefault="001B03AD" w:rsidP="00FF71B6">
      <w:pPr>
        <w:pStyle w:val="ListParagraph"/>
        <w:numPr>
          <w:ilvl w:val="0"/>
          <w:numId w:val="12"/>
        </w:numPr>
        <w:spacing w:line="276" w:lineRule="auto"/>
        <w:rPr>
          <w:rFonts w:cs="Arial"/>
          <w:szCs w:val="22"/>
        </w:rPr>
      </w:pPr>
      <w:r w:rsidRPr="4724DC84">
        <w:rPr>
          <w:rFonts w:cs="Arial"/>
        </w:rPr>
        <w:t>Implement appropriate management interventions and, where necessary, legal actions to address ASB (please see below)</w:t>
      </w:r>
    </w:p>
    <w:p w14:paraId="4EA713C9" w14:textId="6CC2C300" w:rsidR="001B03AD" w:rsidRPr="00A522AC" w:rsidRDefault="001B03AD" w:rsidP="00FF71B6">
      <w:pPr>
        <w:pStyle w:val="ListParagraph"/>
        <w:numPr>
          <w:ilvl w:val="0"/>
          <w:numId w:val="12"/>
        </w:numPr>
        <w:spacing w:line="276" w:lineRule="auto"/>
        <w:rPr>
          <w:rFonts w:cs="Arial"/>
          <w:szCs w:val="22"/>
        </w:rPr>
      </w:pPr>
      <w:r w:rsidRPr="4724DC84">
        <w:rPr>
          <w:rFonts w:cs="Arial"/>
        </w:rPr>
        <w:t>Support our clients should they wish to originate a complaint of ASB</w:t>
      </w:r>
    </w:p>
    <w:p w14:paraId="7AAEDC1C" w14:textId="77777777" w:rsidR="001B03AD" w:rsidRDefault="001B03AD" w:rsidP="0049604D">
      <w:pPr>
        <w:spacing w:line="276" w:lineRule="auto"/>
        <w:rPr>
          <w:rFonts w:cs="Arial"/>
          <w:szCs w:val="22"/>
        </w:rPr>
      </w:pPr>
    </w:p>
    <w:p w14:paraId="7093C325" w14:textId="77777777" w:rsidR="0056580B" w:rsidRDefault="0056580B" w:rsidP="0049604D">
      <w:pPr>
        <w:spacing w:line="276" w:lineRule="auto"/>
        <w:rPr>
          <w:rFonts w:cs="Arial"/>
          <w:szCs w:val="22"/>
        </w:rPr>
      </w:pPr>
    </w:p>
    <w:p w14:paraId="232B7B79" w14:textId="0EA08359" w:rsidR="001B03AD" w:rsidRPr="0056580B" w:rsidRDefault="001B03AD" w:rsidP="0049604D">
      <w:pPr>
        <w:spacing w:after="120" w:line="276" w:lineRule="auto"/>
        <w:rPr>
          <w:b/>
          <w:bCs/>
        </w:rPr>
      </w:pPr>
      <w:bookmarkStart w:id="104" w:name="_Toc1478123"/>
      <w:r w:rsidRPr="001B03AD">
        <w:rPr>
          <w:b/>
          <w:bCs/>
        </w:rPr>
        <w:t>Management interventions</w:t>
      </w:r>
      <w:bookmarkEnd w:id="104"/>
    </w:p>
    <w:p w14:paraId="0A594905" w14:textId="2F26BD20" w:rsidR="001B03AD" w:rsidRDefault="001B03AD" w:rsidP="0049604D">
      <w:pPr>
        <w:pStyle w:val="ListNumber"/>
        <w:spacing w:after="60"/>
      </w:pPr>
      <w:r>
        <w:t>In dealing with ASB Transform takes a proportionate approach; we recognise that legal action should be the final option rather than the first. We will therefore attempt appropriate management interventions (non-legal actions) before pursuing any legal action. Management interventions which Transform staff might consider include:</w:t>
      </w:r>
    </w:p>
    <w:p w14:paraId="07E7D0C3" w14:textId="2ECD712A" w:rsidR="001B03AD" w:rsidRPr="001B03AD" w:rsidRDefault="001B03AD" w:rsidP="00FF71B6">
      <w:pPr>
        <w:pStyle w:val="ListParagraph"/>
        <w:numPr>
          <w:ilvl w:val="0"/>
          <w:numId w:val="13"/>
        </w:numPr>
        <w:spacing w:after="120" w:line="276" w:lineRule="auto"/>
        <w:ind w:left="1077" w:hanging="357"/>
        <w:contextualSpacing w:val="0"/>
        <w:rPr>
          <w:rFonts w:cs="Arial"/>
        </w:rPr>
      </w:pPr>
      <w:r w:rsidRPr="4724DC84">
        <w:rPr>
          <w:rFonts w:cs="Arial"/>
          <w:b/>
          <w:bCs/>
        </w:rPr>
        <w:t>Mediation between parties</w:t>
      </w:r>
      <w:r w:rsidRPr="4724DC84">
        <w:rPr>
          <w:rFonts w:cs="Arial"/>
        </w:rPr>
        <w:t xml:space="preserve"> – this may involve mediating between the perpetrator and victim to find a way forward that is acceptable to everybody. Often this provides the quickest and most effective solution.</w:t>
      </w:r>
    </w:p>
    <w:p w14:paraId="634084DB" w14:textId="730026A9" w:rsidR="001B03AD" w:rsidRPr="001B03AD" w:rsidRDefault="001B03AD" w:rsidP="00FF71B6">
      <w:pPr>
        <w:pStyle w:val="ListParagraph"/>
        <w:numPr>
          <w:ilvl w:val="0"/>
          <w:numId w:val="13"/>
        </w:numPr>
        <w:spacing w:after="120" w:line="276" w:lineRule="auto"/>
        <w:ind w:left="1077" w:hanging="357"/>
        <w:contextualSpacing w:val="0"/>
        <w:rPr>
          <w:rFonts w:cs="Arial"/>
          <w:szCs w:val="22"/>
        </w:rPr>
      </w:pPr>
      <w:r w:rsidRPr="4724DC84">
        <w:rPr>
          <w:rFonts w:cs="Arial"/>
          <w:b/>
          <w:bCs/>
        </w:rPr>
        <w:t>Warnings</w:t>
      </w:r>
      <w:r w:rsidRPr="4724DC84">
        <w:rPr>
          <w:rFonts w:cs="Arial"/>
        </w:rPr>
        <w:t xml:space="preserve"> – where the perpetrator of ASB is a Transform </w:t>
      </w:r>
      <w:r w:rsidR="00272CFA">
        <w:rPr>
          <w:rFonts w:cs="Arial"/>
        </w:rPr>
        <w:t>client</w:t>
      </w:r>
      <w:r w:rsidRPr="4724DC84">
        <w:rPr>
          <w:rFonts w:cs="Arial"/>
        </w:rPr>
        <w:t xml:space="preserve"> or </w:t>
      </w:r>
      <w:r w:rsidR="00272CFA">
        <w:rPr>
          <w:rFonts w:cs="Arial"/>
        </w:rPr>
        <w:t>client</w:t>
      </w:r>
      <w:r w:rsidRPr="4724DC84">
        <w:rPr>
          <w:rFonts w:cs="Arial"/>
        </w:rPr>
        <w:t xml:space="preserve"> and they are in breach of their licence or tenancy agreement, consideration can be given to issuing a verbal or written warning if their behaviour persists.</w:t>
      </w:r>
    </w:p>
    <w:p w14:paraId="3D35B25B" w14:textId="77777777" w:rsidR="001B03AD" w:rsidRPr="001B03AD" w:rsidRDefault="001B03AD" w:rsidP="00FF71B6">
      <w:pPr>
        <w:pStyle w:val="ListParagraph"/>
        <w:numPr>
          <w:ilvl w:val="0"/>
          <w:numId w:val="13"/>
        </w:numPr>
        <w:spacing w:after="120" w:line="276" w:lineRule="auto"/>
        <w:ind w:left="1077" w:hanging="357"/>
        <w:contextualSpacing w:val="0"/>
        <w:rPr>
          <w:rFonts w:cs="Arial"/>
          <w:szCs w:val="22"/>
        </w:rPr>
      </w:pPr>
      <w:r w:rsidRPr="4724DC84">
        <w:rPr>
          <w:rFonts w:cs="Arial"/>
          <w:b/>
          <w:bCs/>
        </w:rPr>
        <w:t>Diversionary action</w:t>
      </w:r>
      <w:r w:rsidRPr="4724DC84">
        <w:rPr>
          <w:rFonts w:cs="Arial"/>
        </w:rPr>
        <w:t xml:space="preserve"> - this is a course of action intended to move perpetrators away from causing ASB. An example is a group of teenagers causing nuisance in an area where a number of elderly people are living. Youth services might organise some activity (e.g. a five-a-side football tournament) that would remove the group from the scene and act as a positive alternative to the ASB.</w:t>
      </w:r>
    </w:p>
    <w:p w14:paraId="50081D02" w14:textId="77777777" w:rsidR="001B03AD" w:rsidRPr="001B03AD" w:rsidRDefault="001B03AD" w:rsidP="00FF71B6">
      <w:pPr>
        <w:pStyle w:val="ListParagraph"/>
        <w:numPr>
          <w:ilvl w:val="0"/>
          <w:numId w:val="13"/>
        </w:numPr>
        <w:spacing w:after="120" w:line="276" w:lineRule="auto"/>
        <w:ind w:left="1077" w:hanging="357"/>
        <w:contextualSpacing w:val="0"/>
        <w:rPr>
          <w:rFonts w:cs="Arial"/>
          <w:szCs w:val="22"/>
        </w:rPr>
      </w:pPr>
      <w:r w:rsidRPr="4724DC84">
        <w:rPr>
          <w:rFonts w:cs="Arial"/>
          <w:b/>
          <w:bCs/>
        </w:rPr>
        <w:t>Acceptable Behaviour Contracts (ABC)</w:t>
      </w:r>
      <w:r w:rsidRPr="4724DC84">
        <w:rPr>
          <w:rFonts w:cs="Arial"/>
        </w:rPr>
        <w:t xml:space="preserve"> - an informal contract, drawn up by staff with clients in the early stages of ASB, with the aim of keeping the individual within acceptable bounds of behaviour.</w:t>
      </w:r>
    </w:p>
    <w:p w14:paraId="624DA84C" w14:textId="77777777" w:rsidR="001B03AD" w:rsidRPr="001B03AD" w:rsidRDefault="001B03AD" w:rsidP="00FF71B6">
      <w:pPr>
        <w:pStyle w:val="ListParagraph"/>
        <w:numPr>
          <w:ilvl w:val="0"/>
          <w:numId w:val="13"/>
        </w:numPr>
        <w:spacing w:after="120" w:line="276" w:lineRule="auto"/>
        <w:ind w:left="1077" w:hanging="357"/>
        <w:contextualSpacing w:val="0"/>
        <w:rPr>
          <w:rFonts w:cs="Arial"/>
          <w:szCs w:val="22"/>
        </w:rPr>
      </w:pPr>
      <w:r w:rsidRPr="4724DC84">
        <w:rPr>
          <w:rFonts w:cs="Arial"/>
          <w:b/>
          <w:bCs/>
        </w:rPr>
        <w:t>Involvement of other services</w:t>
      </w:r>
      <w:r w:rsidRPr="4724DC84">
        <w:rPr>
          <w:rFonts w:cs="Arial"/>
        </w:rPr>
        <w:t xml:space="preserve"> – seek the support of other service providers in instances where perpetrators have, for example, mental health problems, recognised behavioural problems or substance dependency issues.</w:t>
      </w:r>
    </w:p>
    <w:p w14:paraId="583E4BE4" w14:textId="77777777" w:rsidR="001B03AD" w:rsidRPr="001B03AD" w:rsidRDefault="001B03AD" w:rsidP="00FF71B6">
      <w:pPr>
        <w:pStyle w:val="ListParagraph"/>
        <w:numPr>
          <w:ilvl w:val="0"/>
          <w:numId w:val="13"/>
        </w:numPr>
        <w:spacing w:after="120" w:line="276" w:lineRule="auto"/>
        <w:ind w:left="1077" w:hanging="357"/>
        <w:contextualSpacing w:val="0"/>
        <w:rPr>
          <w:rFonts w:asciiTheme="minorHAnsi" w:hAnsiTheme="minorHAnsi" w:cstheme="minorHAnsi"/>
          <w:szCs w:val="22"/>
        </w:rPr>
      </w:pPr>
      <w:r w:rsidRPr="4724DC84">
        <w:rPr>
          <w:rFonts w:asciiTheme="minorHAnsi" w:hAnsiTheme="minorHAnsi"/>
          <w:b/>
          <w:bCs/>
        </w:rPr>
        <w:t>Environmental Health Department</w:t>
      </w:r>
      <w:r w:rsidRPr="4724DC84">
        <w:rPr>
          <w:rFonts w:asciiTheme="minorHAnsi" w:hAnsiTheme="minorHAnsi"/>
        </w:rPr>
        <w:t xml:space="preserve"> - for issues relating to noise disturbance, a referral to the Environmental Health Department may be appropriate. ‘Night noise’ (noise between 11.00pm and 7.00am) can be punished by a fine and noisy equipment can be confiscated under certain circumstances.</w:t>
      </w:r>
    </w:p>
    <w:p w14:paraId="3A2D2528" w14:textId="7AAE8E2D" w:rsidR="00F47AD4" w:rsidRPr="00B36EF7" w:rsidRDefault="001B03AD" w:rsidP="00FF71B6">
      <w:pPr>
        <w:pStyle w:val="ListParagraph"/>
        <w:numPr>
          <w:ilvl w:val="0"/>
          <w:numId w:val="13"/>
        </w:numPr>
        <w:spacing w:after="120" w:line="276" w:lineRule="auto"/>
        <w:ind w:left="1077" w:hanging="357"/>
        <w:contextualSpacing w:val="0"/>
        <w:rPr>
          <w:rFonts w:cs="Arial"/>
          <w:b/>
          <w:szCs w:val="22"/>
        </w:rPr>
      </w:pPr>
      <w:r w:rsidRPr="4724DC84">
        <w:rPr>
          <w:rFonts w:cs="Arial"/>
          <w:b/>
          <w:bCs/>
        </w:rPr>
        <w:t>Counselling for individuals causing ASB</w:t>
      </w:r>
    </w:p>
    <w:p w14:paraId="0AB480B0" w14:textId="77777777" w:rsidR="00F47AD4" w:rsidRDefault="00F47AD4" w:rsidP="0049604D">
      <w:pPr>
        <w:spacing w:line="276" w:lineRule="auto"/>
        <w:rPr>
          <w:szCs w:val="22"/>
        </w:rPr>
      </w:pPr>
    </w:p>
    <w:p w14:paraId="06091C01" w14:textId="77777777" w:rsidR="0056580B" w:rsidRDefault="0056580B" w:rsidP="0049604D">
      <w:pPr>
        <w:spacing w:line="276" w:lineRule="auto"/>
        <w:rPr>
          <w:szCs w:val="22"/>
        </w:rPr>
      </w:pPr>
    </w:p>
    <w:p w14:paraId="33FD4277" w14:textId="77777777" w:rsidR="0056580B" w:rsidRDefault="0056580B" w:rsidP="0049604D">
      <w:pPr>
        <w:spacing w:line="276" w:lineRule="auto"/>
        <w:rPr>
          <w:szCs w:val="22"/>
        </w:rPr>
      </w:pPr>
    </w:p>
    <w:p w14:paraId="5D4BB4D0" w14:textId="77777777" w:rsidR="0049604D" w:rsidRPr="001048E9" w:rsidRDefault="0049604D" w:rsidP="0049604D">
      <w:pPr>
        <w:spacing w:line="276" w:lineRule="auto"/>
        <w:rPr>
          <w:szCs w:val="22"/>
        </w:rPr>
      </w:pPr>
    </w:p>
    <w:p w14:paraId="02A3EF3B" w14:textId="73666747" w:rsidR="00721CCF" w:rsidRPr="0056580B" w:rsidRDefault="001B03AD" w:rsidP="0049604D">
      <w:pPr>
        <w:spacing w:after="120" w:line="276" w:lineRule="auto"/>
        <w:rPr>
          <w:b/>
          <w:bCs/>
        </w:rPr>
      </w:pPr>
      <w:bookmarkStart w:id="105" w:name="_Toc1478124"/>
      <w:r w:rsidRPr="00A575F2">
        <w:rPr>
          <w:b/>
          <w:bCs/>
        </w:rPr>
        <w:lastRenderedPageBreak/>
        <w:t>Legal actions to address ASB</w:t>
      </w:r>
      <w:bookmarkEnd w:id="105"/>
    </w:p>
    <w:p w14:paraId="1FCE6FB7" w14:textId="7216768C" w:rsidR="001B03AD" w:rsidRPr="0056580B" w:rsidRDefault="001B03AD" w:rsidP="0049604D">
      <w:pPr>
        <w:pStyle w:val="ListNumber"/>
        <w:spacing w:after="60"/>
        <w:rPr>
          <w:rFonts w:asciiTheme="minorHAnsi" w:hAnsiTheme="minorHAnsi" w:cstheme="minorHAnsi"/>
        </w:rPr>
      </w:pPr>
      <w:r>
        <w:t xml:space="preserve">Where management interventions fail to resolve the ASB, Transform will give consideration to the use of legal actions. This may involve reporting the ASB to the police and taking action under the </w:t>
      </w:r>
      <w:r>
        <w:rPr>
          <w:rFonts w:asciiTheme="minorHAnsi" w:hAnsiTheme="minorHAnsi" w:cstheme="minorHAnsi"/>
        </w:rPr>
        <w:t>Anti-Social Behaviour, Crime and Policing Act 2014</w:t>
      </w:r>
      <w:r>
        <w:rPr>
          <w:rStyle w:val="FootnoteReference"/>
          <w:rFonts w:asciiTheme="minorHAnsi" w:hAnsiTheme="minorHAnsi" w:cstheme="minorHAnsi"/>
        </w:rPr>
        <w:footnoteReference w:id="2"/>
      </w:r>
      <w:r>
        <w:rPr>
          <w:rFonts w:asciiTheme="minorHAnsi" w:hAnsiTheme="minorHAnsi" w:cstheme="minorHAnsi"/>
        </w:rPr>
        <w:t>. Provisions under the Act include:</w:t>
      </w:r>
    </w:p>
    <w:p w14:paraId="03872E81"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Community Triggers</w:t>
      </w:r>
    </w:p>
    <w:p w14:paraId="740FADA1"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Community Resolutions</w:t>
      </w:r>
    </w:p>
    <w:p w14:paraId="1884DE1F"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 xml:space="preserve">Community Protection Notices </w:t>
      </w:r>
    </w:p>
    <w:p w14:paraId="3C49FCA4"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Civil Injunctions</w:t>
      </w:r>
    </w:p>
    <w:p w14:paraId="7D6DEDF3"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Criminal Behaviour Orders</w:t>
      </w:r>
    </w:p>
    <w:p w14:paraId="7D4E8354"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Public Spaces Protection Order</w:t>
      </w:r>
    </w:p>
    <w:p w14:paraId="481117B0"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 xml:space="preserve">Closure powers </w:t>
      </w:r>
    </w:p>
    <w:p w14:paraId="52C6A39D" w14:textId="77777777" w:rsidR="001B03AD" w:rsidRPr="007323A1" w:rsidRDefault="001B03AD" w:rsidP="00FF71B6">
      <w:pPr>
        <w:pStyle w:val="ListParagraph"/>
        <w:numPr>
          <w:ilvl w:val="0"/>
          <w:numId w:val="14"/>
        </w:numPr>
        <w:spacing w:line="276" w:lineRule="auto"/>
        <w:rPr>
          <w:rFonts w:asciiTheme="minorHAnsi" w:hAnsiTheme="minorHAnsi" w:cstheme="minorHAnsi"/>
          <w:szCs w:val="22"/>
        </w:rPr>
      </w:pPr>
      <w:r w:rsidRPr="4724DC84">
        <w:rPr>
          <w:rFonts w:asciiTheme="minorHAnsi" w:hAnsiTheme="minorHAnsi"/>
        </w:rPr>
        <w:t>Absolute grounds for possession</w:t>
      </w:r>
    </w:p>
    <w:p w14:paraId="297F8E5C" w14:textId="77777777" w:rsidR="001B03AD" w:rsidRPr="007323A1" w:rsidRDefault="001B03AD" w:rsidP="0049604D">
      <w:pPr>
        <w:spacing w:line="276" w:lineRule="auto"/>
        <w:rPr>
          <w:rFonts w:asciiTheme="minorHAnsi" w:hAnsiTheme="minorHAnsi" w:cstheme="minorHAnsi"/>
          <w:szCs w:val="22"/>
        </w:rPr>
      </w:pPr>
    </w:p>
    <w:p w14:paraId="1D852E79" w14:textId="72B9A8B6" w:rsidR="001B03AD" w:rsidRDefault="001B03AD" w:rsidP="0049604D">
      <w:pPr>
        <w:pStyle w:val="ListNumber"/>
      </w:pPr>
      <w:r>
        <w:t xml:space="preserve">In serious cases, where all other action has failed and where the perpetrator is a Transform </w:t>
      </w:r>
      <w:r w:rsidR="774E52BA">
        <w:t>client</w:t>
      </w:r>
      <w:r>
        <w:t>, we may consider ending their licence agreement or taking legal action to end their tenancy.</w:t>
      </w:r>
    </w:p>
    <w:p w14:paraId="07E807FE" w14:textId="77777777" w:rsidR="003F6E51" w:rsidRDefault="003F6E51" w:rsidP="0049604D">
      <w:pPr>
        <w:spacing w:line="276" w:lineRule="auto"/>
        <w:rPr>
          <w:b/>
          <w:bCs/>
          <w:szCs w:val="22"/>
        </w:rPr>
      </w:pPr>
      <w:bookmarkStart w:id="106" w:name="_Toc1478125"/>
    </w:p>
    <w:p w14:paraId="41CAE313" w14:textId="77777777" w:rsidR="003F6E51" w:rsidRDefault="003F6E51" w:rsidP="0049604D">
      <w:pPr>
        <w:spacing w:line="276" w:lineRule="auto"/>
        <w:rPr>
          <w:b/>
          <w:bCs/>
          <w:szCs w:val="22"/>
        </w:rPr>
      </w:pPr>
    </w:p>
    <w:p w14:paraId="23154F65" w14:textId="348265AD" w:rsidR="00FC4C60" w:rsidRPr="003F6E51" w:rsidRDefault="001B03AD" w:rsidP="0049604D">
      <w:pPr>
        <w:spacing w:after="120" w:line="276" w:lineRule="auto"/>
        <w:rPr>
          <w:b/>
          <w:bCs/>
        </w:rPr>
      </w:pPr>
      <w:r w:rsidRPr="003F6E51">
        <w:rPr>
          <w:b/>
          <w:bCs/>
        </w:rPr>
        <w:t>Joint working</w:t>
      </w:r>
      <w:bookmarkEnd w:id="106"/>
    </w:p>
    <w:p w14:paraId="79CF94B5" w14:textId="477D0AD4" w:rsidR="001B03AD" w:rsidRPr="00FC4C60" w:rsidRDefault="001B03AD" w:rsidP="0049604D">
      <w:pPr>
        <w:pStyle w:val="ListNumber"/>
        <w:spacing w:after="60"/>
      </w:pPr>
      <w:r w:rsidRPr="00FC4C60">
        <w:t>To achieve the best results, Transform will attend and provide active co-operation to forums where ASB is a central or major component. In addition, Transform will work and co-operate with external agencies such as:</w:t>
      </w:r>
    </w:p>
    <w:p w14:paraId="2B88DE43" w14:textId="77777777"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Police</w:t>
      </w:r>
    </w:p>
    <w:p w14:paraId="3CC38994" w14:textId="77777777"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Local authorities</w:t>
      </w:r>
    </w:p>
    <w:p w14:paraId="3481D96B" w14:textId="36BDDCEC"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 xml:space="preserve">Social </w:t>
      </w:r>
      <w:r w:rsidR="003F6E51">
        <w:rPr>
          <w:rFonts w:asciiTheme="minorHAnsi" w:hAnsiTheme="minorHAnsi"/>
        </w:rPr>
        <w:t>s</w:t>
      </w:r>
      <w:r w:rsidRPr="003F6E51">
        <w:rPr>
          <w:rFonts w:asciiTheme="minorHAnsi" w:hAnsiTheme="minorHAnsi"/>
        </w:rPr>
        <w:t>ervices</w:t>
      </w:r>
    </w:p>
    <w:p w14:paraId="747EB1DD" w14:textId="77777777"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Probation</w:t>
      </w:r>
    </w:p>
    <w:p w14:paraId="3B7A5CE1" w14:textId="77777777"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Youth offending teams</w:t>
      </w:r>
    </w:p>
    <w:p w14:paraId="6049E54D" w14:textId="77777777"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Substance misuse services</w:t>
      </w:r>
    </w:p>
    <w:p w14:paraId="4443A9B1" w14:textId="09122F4B" w:rsidR="001B03AD" w:rsidRPr="003F6E51" w:rsidRDefault="001B03AD" w:rsidP="00FF71B6">
      <w:pPr>
        <w:pStyle w:val="ListParagraph"/>
        <w:numPr>
          <w:ilvl w:val="0"/>
          <w:numId w:val="19"/>
        </w:numPr>
        <w:spacing w:line="276" w:lineRule="auto"/>
        <w:rPr>
          <w:rFonts w:asciiTheme="minorHAnsi" w:hAnsiTheme="minorHAnsi" w:cstheme="minorHAnsi"/>
          <w:szCs w:val="22"/>
        </w:rPr>
      </w:pPr>
      <w:r w:rsidRPr="003F6E51">
        <w:rPr>
          <w:rFonts w:asciiTheme="minorHAnsi" w:hAnsiTheme="minorHAnsi"/>
        </w:rPr>
        <w:t>Health services</w:t>
      </w:r>
    </w:p>
    <w:p w14:paraId="19AD066C" w14:textId="77777777" w:rsidR="00FC4C60" w:rsidRDefault="00FC4C60" w:rsidP="0049604D">
      <w:pPr>
        <w:pStyle w:val="ListParagraph"/>
        <w:spacing w:line="276" w:lineRule="auto"/>
        <w:ind w:left="927"/>
        <w:rPr>
          <w:rFonts w:asciiTheme="minorHAnsi" w:hAnsiTheme="minorHAnsi" w:cstheme="minorHAnsi"/>
          <w:szCs w:val="22"/>
        </w:rPr>
      </w:pPr>
    </w:p>
    <w:p w14:paraId="4479E5E8" w14:textId="0A0008A3" w:rsidR="005C00E4" w:rsidRPr="00FC4C60" w:rsidRDefault="00FC4C60" w:rsidP="0049604D">
      <w:pPr>
        <w:pStyle w:val="ListNumber"/>
        <w:spacing w:after="60"/>
      </w:pPr>
      <w:r>
        <w:t xml:space="preserve">Transform will also work with multi-agency </w:t>
      </w:r>
      <w:r w:rsidR="008E7C64">
        <w:t>fora including</w:t>
      </w:r>
      <w:r>
        <w:t xml:space="preserve">: </w:t>
      </w:r>
    </w:p>
    <w:p w14:paraId="4E8CEACD" w14:textId="3A428CA0" w:rsidR="001B03AD" w:rsidRPr="0049604D" w:rsidRDefault="001B03AD" w:rsidP="00FF71B6">
      <w:pPr>
        <w:pStyle w:val="ListParagraph"/>
        <w:numPr>
          <w:ilvl w:val="0"/>
          <w:numId w:val="20"/>
        </w:numPr>
        <w:spacing w:after="120" w:line="276" w:lineRule="auto"/>
        <w:ind w:left="1077" w:hanging="357"/>
        <w:contextualSpacing w:val="0"/>
        <w:rPr>
          <w:rFonts w:asciiTheme="minorHAnsi" w:hAnsiTheme="minorHAnsi" w:cstheme="minorHAnsi"/>
          <w:szCs w:val="22"/>
        </w:rPr>
      </w:pPr>
      <w:r w:rsidRPr="0049604D">
        <w:rPr>
          <w:rFonts w:asciiTheme="minorHAnsi" w:hAnsiTheme="minorHAnsi"/>
        </w:rPr>
        <w:t>Community Incident Action Groups (CIAG):  convened and overseen by the Community Safety Officer which each local authority is obliged to appoint. They have representatives from the police, RSLs, Youth Services, Social Services, Education, Drug and Alcohol services etc. The purpose is to monitor individuals and families known to the local services, to discuss and implement a course of action to prevent them engaging in ASB and to share information that will help these ends.</w:t>
      </w:r>
    </w:p>
    <w:p w14:paraId="0F188FD2" w14:textId="702B2383" w:rsidR="001B03AD" w:rsidRPr="0049604D" w:rsidRDefault="001B03AD" w:rsidP="00FF71B6">
      <w:pPr>
        <w:pStyle w:val="ListParagraph"/>
        <w:numPr>
          <w:ilvl w:val="0"/>
          <w:numId w:val="20"/>
        </w:numPr>
        <w:spacing w:after="120" w:line="276" w:lineRule="auto"/>
        <w:ind w:left="1077" w:hanging="357"/>
        <w:contextualSpacing w:val="0"/>
        <w:rPr>
          <w:rFonts w:asciiTheme="minorHAnsi" w:hAnsiTheme="minorHAnsi" w:cstheme="minorHAnsi"/>
          <w:szCs w:val="22"/>
        </w:rPr>
      </w:pPr>
      <w:r w:rsidRPr="0049604D">
        <w:rPr>
          <w:rFonts w:asciiTheme="minorHAnsi" w:hAnsiTheme="minorHAnsi"/>
        </w:rPr>
        <w:t>Joint Action Groups (JAG). Similar to the CIAG but with a brief to monitor locations rather than individuals.</w:t>
      </w:r>
    </w:p>
    <w:p w14:paraId="3C521A7F" w14:textId="1E83F64C" w:rsidR="001B03AD" w:rsidRPr="0049604D" w:rsidRDefault="001B03AD" w:rsidP="00FF71B6">
      <w:pPr>
        <w:pStyle w:val="ListParagraph"/>
        <w:numPr>
          <w:ilvl w:val="0"/>
          <w:numId w:val="20"/>
        </w:numPr>
        <w:spacing w:after="120" w:line="276" w:lineRule="auto"/>
        <w:ind w:left="1077" w:hanging="357"/>
        <w:contextualSpacing w:val="0"/>
        <w:rPr>
          <w:rFonts w:asciiTheme="minorHAnsi" w:hAnsiTheme="minorHAnsi" w:cstheme="minorHAnsi"/>
          <w:szCs w:val="22"/>
        </w:rPr>
      </w:pPr>
      <w:r w:rsidRPr="0049604D">
        <w:rPr>
          <w:rFonts w:asciiTheme="minorHAnsi" w:hAnsiTheme="minorHAnsi"/>
        </w:rPr>
        <w:t xml:space="preserve">Multi-agency Risk Assessment </w:t>
      </w:r>
      <w:r w:rsidR="008E7C64" w:rsidRPr="0049604D">
        <w:rPr>
          <w:rFonts w:asciiTheme="minorHAnsi" w:hAnsiTheme="minorHAnsi"/>
        </w:rPr>
        <w:t>Conference. (</w:t>
      </w:r>
      <w:r w:rsidRPr="0049604D">
        <w:rPr>
          <w:rFonts w:asciiTheme="minorHAnsi" w:hAnsiTheme="minorHAnsi"/>
        </w:rPr>
        <w:t>MARAC) This is a regular, confidential, local meeting to discuss how to help victims at high risk of serious harm. Police, social services, health and other relevant agencies attend the meeting and agree an action plan for each victim.</w:t>
      </w:r>
    </w:p>
    <w:p w14:paraId="1470E581" w14:textId="41DAE900" w:rsidR="001B03AD" w:rsidRPr="0049604D" w:rsidRDefault="001B03AD" w:rsidP="00FF71B6">
      <w:pPr>
        <w:pStyle w:val="ListParagraph"/>
        <w:numPr>
          <w:ilvl w:val="0"/>
          <w:numId w:val="20"/>
        </w:numPr>
        <w:spacing w:after="120" w:line="276" w:lineRule="auto"/>
        <w:ind w:left="1077" w:hanging="357"/>
        <w:contextualSpacing w:val="0"/>
        <w:rPr>
          <w:rFonts w:asciiTheme="minorHAnsi" w:hAnsiTheme="minorHAnsi" w:cstheme="minorHAnsi"/>
          <w:iCs/>
          <w:szCs w:val="22"/>
        </w:rPr>
      </w:pPr>
      <w:r w:rsidRPr="0049604D">
        <w:rPr>
          <w:rFonts w:asciiTheme="minorHAnsi" w:hAnsiTheme="minorHAnsi"/>
        </w:rPr>
        <w:t xml:space="preserve">Information Sharing Protocol (ISP). A system for sharing information between statutory and voluntary services. Transform is a signatory to several ISPs and this allows us to </w:t>
      </w:r>
      <w:r w:rsidR="00721CCF" w:rsidRPr="0049604D">
        <w:rPr>
          <w:rFonts w:asciiTheme="minorHAnsi" w:hAnsiTheme="minorHAnsi"/>
        </w:rPr>
        <w:t>share</w:t>
      </w:r>
      <w:r w:rsidRPr="0049604D">
        <w:rPr>
          <w:rFonts w:asciiTheme="minorHAnsi" w:hAnsiTheme="minorHAnsi"/>
        </w:rPr>
        <w:t xml:space="preserve"> and </w:t>
      </w:r>
      <w:r w:rsidRPr="0049604D">
        <w:rPr>
          <w:rFonts w:asciiTheme="minorHAnsi" w:hAnsiTheme="minorHAnsi"/>
        </w:rPr>
        <w:lastRenderedPageBreak/>
        <w:t xml:space="preserve">receive information to/from partner agencies in accordance with the Data Protection </w:t>
      </w:r>
      <w:r w:rsidR="00721CCF" w:rsidRPr="0049604D">
        <w:rPr>
          <w:rFonts w:asciiTheme="minorHAnsi" w:hAnsiTheme="minorHAnsi"/>
        </w:rPr>
        <w:t xml:space="preserve">legislation </w:t>
      </w:r>
      <w:r w:rsidRPr="0049604D">
        <w:rPr>
          <w:rFonts w:asciiTheme="minorHAnsi" w:hAnsiTheme="minorHAnsi"/>
        </w:rPr>
        <w:t>and Transform’s Confidentiality policy.</w:t>
      </w:r>
    </w:p>
    <w:p w14:paraId="7FE87BCD" w14:textId="77777777" w:rsidR="0049604D" w:rsidRPr="0049604D" w:rsidRDefault="0049604D" w:rsidP="0049604D">
      <w:pPr>
        <w:spacing w:after="120" w:line="276" w:lineRule="auto"/>
        <w:rPr>
          <w:rFonts w:asciiTheme="minorHAnsi" w:hAnsiTheme="minorHAnsi" w:cstheme="minorHAnsi"/>
          <w:iCs/>
          <w:szCs w:val="22"/>
        </w:rPr>
      </w:pPr>
    </w:p>
    <w:p w14:paraId="4A214DCB" w14:textId="74A65E59" w:rsidR="001B03AD" w:rsidRPr="001B03AD" w:rsidRDefault="001B03AD" w:rsidP="0049604D">
      <w:pPr>
        <w:spacing w:after="120" w:line="276" w:lineRule="auto"/>
        <w:rPr>
          <w:b/>
          <w:bCs/>
        </w:rPr>
      </w:pPr>
      <w:bookmarkStart w:id="107" w:name="_Toc1478126"/>
      <w:r w:rsidRPr="001B03AD">
        <w:rPr>
          <w:b/>
          <w:bCs/>
        </w:rPr>
        <w:t>Closure notices and orders</w:t>
      </w:r>
      <w:bookmarkEnd w:id="107"/>
    </w:p>
    <w:p w14:paraId="7AB24CF8" w14:textId="03FFE2D5" w:rsidR="001B03AD" w:rsidRDefault="001B03AD" w:rsidP="0049604D">
      <w:pPr>
        <w:pStyle w:val="ListNumber"/>
      </w:pPr>
      <w:r>
        <w:t>Closure notices and orders can be used by the council or the police against a premises that is causing nuisance or disorder. Such nuisance or disorder may be associated with drug use, but this does not necessarily have to be the case. A closure order can prohibit access to those who routinely live at the premises and as such could have serious repercussions for Transform as a landlord.</w:t>
      </w:r>
    </w:p>
    <w:p w14:paraId="253FB956" w14:textId="77777777" w:rsidR="001B03AD" w:rsidRDefault="001B03AD" w:rsidP="0049604D">
      <w:pPr>
        <w:spacing w:line="276" w:lineRule="auto"/>
        <w:rPr>
          <w:rFonts w:cs="Arial"/>
          <w:szCs w:val="22"/>
        </w:rPr>
      </w:pPr>
    </w:p>
    <w:p w14:paraId="18B5D9CF" w14:textId="77777777" w:rsidR="001B03AD" w:rsidRDefault="001B03AD" w:rsidP="0049604D">
      <w:pPr>
        <w:pStyle w:val="ListNumber"/>
      </w:pPr>
      <w:r>
        <w:t>To avoid closure notices or orders being issued against our own premises, Transform will monitor all situations where drugs are used unlawfully or where the premises is associated with significant and persistent disorder and will take all necessary steps to prevent a situation escalating to a point where the police are required to act. This course will also protect the rights of other Transform clients. Should drug use or persistent disorder in a neighbouring property give rise to unacceptable disturbance, Transform staff will co-operate with the police and other agencies to provide information relating to levels of disturbance and criminal activity. Should Transform clients be under threat in this type of situation, staff will provide whatever support and protection is available.</w:t>
      </w:r>
    </w:p>
    <w:p w14:paraId="13718B35" w14:textId="77777777" w:rsidR="001B03AD" w:rsidRDefault="001B03AD" w:rsidP="0049604D">
      <w:pPr>
        <w:spacing w:line="276" w:lineRule="auto"/>
        <w:rPr>
          <w:szCs w:val="22"/>
        </w:rPr>
      </w:pPr>
    </w:p>
    <w:p w14:paraId="22D58131" w14:textId="77777777" w:rsidR="0049604D" w:rsidRPr="00CC48DA" w:rsidRDefault="0049604D" w:rsidP="0049604D">
      <w:pPr>
        <w:spacing w:line="276" w:lineRule="auto"/>
        <w:rPr>
          <w:szCs w:val="22"/>
        </w:rPr>
      </w:pPr>
    </w:p>
    <w:p w14:paraId="071CA6DD" w14:textId="254C138E" w:rsidR="001B03AD" w:rsidRPr="001B03AD" w:rsidRDefault="001B03AD" w:rsidP="0049604D">
      <w:pPr>
        <w:spacing w:after="120" w:line="276" w:lineRule="auto"/>
        <w:rPr>
          <w:b/>
          <w:bCs/>
        </w:rPr>
      </w:pPr>
      <w:bookmarkStart w:id="108" w:name="_Toc1478127"/>
      <w:r w:rsidRPr="001B03AD">
        <w:rPr>
          <w:b/>
          <w:bCs/>
        </w:rPr>
        <w:t>Confidentiality</w:t>
      </w:r>
      <w:bookmarkEnd w:id="108"/>
    </w:p>
    <w:p w14:paraId="4D94DC50" w14:textId="77777777" w:rsidR="001B03AD" w:rsidRDefault="001B03AD" w:rsidP="0049604D">
      <w:pPr>
        <w:pStyle w:val="ListNumber"/>
      </w:pPr>
      <w:r>
        <w:t>Transform will adhere to our Confidentiality policy at all times when dealing with complaints of anti-social behaviour and we will do everything possible to protect a complainant’s identity. Information on the identity of a complainant will only be shared with other agencies where permission has been given. The only exception to this would be where we had reason to believe that someone may be at risk of serious harm or where a crime had been committed. We will ensure that any information sharing with other agencies is carried out securely and in accordance with the General Data Protection Regulations. It should be noted that, if a client chooses to remain anonymous, this may limit the action that Transform is able to take. In some instances (for example, in Court) it may not be possible to preserve the anonymity of the complainant.</w:t>
      </w:r>
    </w:p>
    <w:p w14:paraId="1A2A3DA4" w14:textId="77777777" w:rsidR="0049604D" w:rsidRDefault="0049604D" w:rsidP="0049604D">
      <w:pPr>
        <w:pStyle w:val="ListNumber"/>
        <w:numPr>
          <w:ilvl w:val="0"/>
          <w:numId w:val="0"/>
        </w:numPr>
        <w:ind w:left="567"/>
      </w:pPr>
    </w:p>
    <w:p w14:paraId="4DD5334A" w14:textId="77777777" w:rsidR="00721CCF" w:rsidRDefault="00721CCF" w:rsidP="0049604D">
      <w:pPr>
        <w:spacing w:line="276" w:lineRule="auto"/>
        <w:rPr>
          <w:b/>
          <w:bCs/>
        </w:rPr>
      </w:pPr>
      <w:bookmarkStart w:id="109" w:name="_Toc505592820"/>
      <w:bookmarkStart w:id="110" w:name="_Toc505592929"/>
      <w:bookmarkStart w:id="111" w:name="_Toc505594661"/>
      <w:bookmarkStart w:id="112" w:name="_Toc505599203"/>
      <w:bookmarkStart w:id="113" w:name="_Toc522790007"/>
      <w:bookmarkStart w:id="114" w:name="_Toc1470988"/>
      <w:bookmarkStart w:id="115" w:name="_Toc1471009"/>
      <w:bookmarkStart w:id="116" w:name="_Toc1478131"/>
    </w:p>
    <w:p w14:paraId="0E5A2D01" w14:textId="1A6D201E" w:rsidR="00721CCF" w:rsidRPr="0049604D" w:rsidRDefault="00721CCF" w:rsidP="0049604D">
      <w:pPr>
        <w:spacing w:after="120" w:line="276" w:lineRule="auto"/>
        <w:rPr>
          <w:b/>
          <w:bCs/>
        </w:rPr>
      </w:pPr>
      <w:r w:rsidRPr="000C33FA">
        <w:rPr>
          <w:b/>
          <w:bCs/>
        </w:rPr>
        <w:t xml:space="preserve">General procedures for </w:t>
      </w:r>
      <w:bookmarkEnd w:id="109"/>
      <w:bookmarkEnd w:id="110"/>
      <w:bookmarkEnd w:id="111"/>
      <w:bookmarkEnd w:id="112"/>
      <w:r w:rsidRPr="000C33FA">
        <w:rPr>
          <w:b/>
          <w:bCs/>
        </w:rPr>
        <w:t>dealing with ASB</w:t>
      </w:r>
      <w:bookmarkEnd w:id="113"/>
      <w:bookmarkEnd w:id="114"/>
      <w:bookmarkEnd w:id="115"/>
      <w:bookmarkEnd w:id="116"/>
    </w:p>
    <w:p w14:paraId="422B32BE" w14:textId="672EDBE6" w:rsidR="00721CCF" w:rsidRPr="008C643B" w:rsidRDefault="00721CCF" w:rsidP="0049604D">
      <w:pPr>
        <w:pStyle w:val="ListNumber"/>
      </w:pPr>
      <w:r>
        <w:t xml:space="preserve">All complaints whether from </w:t>
      </w:r>
      <w:r w:rsidR="754DEF4E">
        <w:t xml:space="preserve">a </w:t>
      </w:r>
      <w:r>
        <w:t xml:space="preserve">Transform </w:t>
      </w:r>
      <w:r w:rsidR="199FED61">
        <w:t>clien</w:t>
      </w:r>
      <w:r>
        <w:t>t or</w:t>
      </w:r>
      <w:r w:rsidR="1550120B">
        <w:t xml:space="preserve"> a</w:t>
      </w:r>
      <w:r>
        <w:t xml:space="preserve"> member of the public, will be taken seriously. It will be discussed with the appropriate manager as soon as possible. The manager will approach his/her line manager for advice as soon as it becomes evident that the complaint relates to ASB</w:t>
      </w:r>
      <w:r w:rsidR="376E737F">
        <w:t>,</w:t>
      </w:r>
      <w:r>
        <w:t xml:space="preserve"> that is serious and/or shows probability of repetition. It is probable that Transform clients will make their initial complaint to their </w:t>
      </w:r>
      <w:r w:rsidR="3C0E6C9B">
        <w:t>keyworker</w:t>
      </w:r>
      <w:r>
        <w:t xml:space="preserve"> and all staff have a responsibility to record and report all such complaints to the scheme manager without delay. External complaints should be logged by whichever member of staff receives them and passed to the scheme manager as soon as possible.</w:t>
      </w:r>
    </w:p>
    <w:p w14:paraId="0E4681D0" w14:textId="77777777" w:rsidR="00721CCF" w:rsidRPr="008C643B" w:rsidRDefault="00721CCF" w:rsidP="0049604D">
      <w:pPr>
        <w:spacing w:line="276" w:lineRule="auto"/>
        <w:rPr>
          <w:rFonts w:cs="Arial"/>
          <w:szCs w:val="22"/>
        </w:rPr>
      </w:pPr>
    </w:p>
    <w:p w14:paraId="4EEE014C" w14:textId="5EF4FDBC" w:rsidR="00721CCF" w:rsidRDefault="00721CCF" w:rsidP="0049604D">
      <w:pPr>
        <w:pStyle w:val="ListNumber"/>
      </w:pPr>
      <w:r w:rsidRPr="008C643B">
        <w:t>When any complaint is brought to the attention of staff, an Incident Reporting Log must be issued to the complainant if there is a risk of repetition.</w:t>
      </w:r>
      <w:r>
        <w:t xml:space="preserve"> </w:t>
      </w:r>
      <w:r w:rsidRPr="008C643B">
        <w:t>Advice and assistance in recording incidents should be given to the complainant.</w:t>
      </w:r>
      <w:r>
        <w:t xml:space="preserve"> </w:t>
      </w:r>
      <w:r w:rsidRPr="008C643B">
        <w:t xml:space="preserve">Consideration can then be given to any other persons who may also be able to keep an Incident Reporting </w:t>
      </w:r>
      <w:r w:rsidR="008E7C64" w:rsidRPr="008C643B">
        <w:t>Log,</w:t>
      </w:r>
      <w:r w:rsidRPr="008C643B">
        <w:t xml:space="preserve"> and these should be offered with the necessary advice and assistance. The use of the log will help to demonstrate that Transform staff are taking the problem seriously and are committed to doing something about it.</w:t>
      </w:r>
    </w:p>
    <w:p w14:paraId="59B00475" w14:textId="36A8C7BF" w:rsidR="00721CCF" w:rsidRDefault="00721CCF" w:rsidP="0049604D">
      <w:pPr>
        <w:pStyle w:val="ListNumber"/>
        <w:numPr>
          <w:ilvl w:val="0"/>
          <w:numId w:val="0"/>
        </w:numPr>
        <w:ind w:left="567"/>
      </w:pPr>
    </w:p>
    <w:p w14:paraId="0403C86D" w14:textId="77777777" w:rsidR="00FC038C" w:rsidRPr="007F5131" w:rsidRDefault="00FC038C" w:rsidP="0049604D">
      <w:pPr>
        <w:pStyle w:val="ListNumber"/>
        <w:numPr>
          <w:ilvl w:val="0"/>
          <w:numId w:val="0"/>
        </w:numPr>
        <w:ind w:left="567"/>
      </w:pPr>
    </w:p>
    <w:p w14:paraId="7DE8D92A" w14:textId="20FDE89C" w:rsidR="00721CCF" w:rsidRPr="000C33FA" w:rsidRDefault="00721CCF" w:rsidP="0049604D">
      <w:pPr>
        <w:spacing w:after="120" w:line="276" w:lineRule="auto"/>
        <w:rPr>
          <w:rFonts w:cs="Arial"/>
          <w:b/>
          <w:bCs/>
          <w:szCs w:val="22"/>
        </w:rPr>
      </w:pPr>
      <w:r w:rsidRPr="000C33FA">
        <w:rPr>
          <w:b/>
          <w:bCs/>
        </w:rPr>
        <w:lastRenderedPageBreak/>
        <w:t>Procedure to follow when a complaint is received from a Transform client about another Transform client</w:t>
      </w:r>
    </w:p>
    <w:p w14:paraId="68E027CD" w14:textId="77777777" w:rsidR="00721CCF" w:rsidRPr="003F2C63" w:rsidRDefault="00721CCF" w:rsidP="0049604D">
      <w:pPr>
        <w:pStyle w:val="ListNumber"/>
      </w:pPr>
      <w:r w:rsidRPr="003F2C63">
        <w:t>Interview the complainant fully allowing as much time as the complainant is comfortable with. Notes should be taken of this interview and details should include:</w:t>
      </w:r>
    </w:p>
    <w:p w14:paraId="7A63D3F0" w14:textId="41E3CDA9"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 xml:space="preserve">the nature of the alleged </w:t>
      </w:r>
      <w:r w:rsidR="008E7C64" w:rsidRPr="0049604D">
        <w:rPr>
          <w:rFonts w:cs="Arial"/>
        </w:rPr>
        <w:t>behaviour.</w:t>
      </w:r>
    </w:p>
    <w:p w14:paraId="62C690AD" w14:textId="7F86A116"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the frequency</w:t>
      </w:r>
      <w:r w:rsidR="008E7C64" w:rsidRPr="0049604D">
        <w:rPr>
          <w:rFonts w:cs="Arial"/>
        </w:rPr>
        <w:t>.</w:t>
      </w:r>
    </w:p>
    <w:p w14:paraId="76A92BAA" w14:textId="7FD3952A"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 xml:space="preserve">the date(s) and time(s) that it </w:t>
      </w:r>
      <w:r w:rsidR="008E7C64" w:rsidRPr="0049604D">
        <w:rPr>
          <w:rFonts w:cs="Arial"/>
        </w:rPr>
        <w:t>occurred.</w:t>
      </w:r>
    </w:p>
    <w:p w14:paraId="52FD0B66" w14:textId="0D9CE303"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the name(s) of the perpetrator(s</w:t>
      </w:r>
      <w:r w:rsidR="008E7C64" w:rsidRPr="0049604D">
        <w:rPr>
          <w:rFonts w:cs="Arial"/>
        </w:rPr>
        <w:t>).</w:t>
      </w:r>
    </w:p>
    <w:p w14:paraId="50AB1E99" w14:textId="42C2DBD0"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names of any persons who could corroborate the testimony</w:t>
      </w:r>
      <w:r w:rsidR="008E7C64" w:rsidRPr="0049604D">
        <w:rPr>
          <w:rFonts w:cs="Arial"/>
        </w:rPr>
        <w:t>.</w:t>
      </w:r>
    </w:p>
    <w:p w14:paraId="4FC1A58E" w14:textId="3095ED4C" w:rsidR="00721CCF" w:rsidRPr="0049604D" w:rsidRDefault="00721CCF" w:rsidP="00FF71B6">
      <w:pPr>
        <w:pStyle w:val="ListParagraph"/>
        <w:numPr>
          <w:ilvl w:val="0"/>
          <w:numId w:val="21"/>
        </w:numPr>
        <w:spacing w:line="276" w:lineRule="auto"/>
        <w:ind w:left="993"/>
        <w:rPr>
          <w:rFonts w:cs="Arial"/>
          <w:szCs w:val="22"/>
        </w:rPr>
      </w:pPr>
      <w:r w:rsidRPr="0049604D">
        <w:rPr>
          <w:rFonts w:cs="Arial"/>
        </w:rPr>
        <w:t>the actions taken by the complainant, if any (e.g. police involvement, or if complaint made to other agency such as Social Services</w:t>
      </w:r>
      <w:r w:rsidR="008E7C64" w:rsidRPr="0049604D">
        <w:rPr>
          <w:rFonts w:cs="Arial"/>
        </w:rPr>
        <w:t>).</w:t>
      </w:r>
    </w:p>
    <w:p w14:paraId="52F9077C" w14:textId="77777777" w:rsidR="00721CCF" w:rsidRPr="003F2C63" w:rsidRDefault="00721CCF" w:rsidP="0049604D">
      <w:pPr>
        <w:spacing w:line="276" w:lineRule="auto"/>
        <w:rPr>
          <w:rFonts w:cs="Arial"/>
          <w:szCs w:val="22"/>
        </w:rPr>
      </w:pPr>
    </w:p>
    <w:p w14:paraId="4B0E6128" w14:textId="2B0969C8" w:rsidR="0079418C" w:rsidRPr="003F2C63" w:rsidRDefault="00721CCF" w:rsidP="00905D30">
      <w:pPr>
        <w:pStyle w:val="ListNumber"/>
        <w:spacing w:after="60"/>
      </w:pPr>
      <w:r w:rsidRPr="003F2C63">
        <w:t>At this stage staff should consider the following:</w:t>
      </w:r>
    </w:p>
    <w:p w14:paraId="5A29196B" w14:textId="77777777" w:rsidR="00721CCF" w:rsidRPr="002F2C33" w:rsidRDefault="00721CCF" w:rsidP="00FF71B6">
      <w:pPr>
        <w:pStyle w:val="ListParagraph"/>
        <w:numPr>
          <w:ilvl w:val="0"/>
          <w:numId w:val="22"/>
        </w:numPr>
        <w:spacing w:line="276" w:lineRule="auto"/>
        <w:ind w:left="993"/>
        <w:rPr>
          <w:rFonts w:cs="Arial"/>
          <w:szCs w:val="22"/>
        </w:rPr>
      </w:pPr>
      <w:r w:rsidRPr="002F2C33">
        <w:rPr>
          <w:rFonts w:cs="Arial"/>
        </w:rPr>
        <w:t>Might the ASB have been motivated by prejudice based on the complainant’s disability, race, religion, sexual orientation or transgender identity? Where this may be the case, staff should refer to the policy “Racist and hate incidents” when deciding the best course of action.</w:t>
      </w:r>
    </w:p>
    <w:p w14:paraId="75C1021F" w14:textId="30323EEC" w:rsidR="00721CCF" w:rsidRPr="002F2C33" w:rsidRDefault="00721CCF" w:rsidP="00FF71B6">
      <w:pPr>
        <w:pStyle w:val="ListParagraph"/>
        <w:numPr>
          <w:ilvl w:val="0"/>
          <w:numId w:val="22"/>
        </w:numPr>
        <w:spacing w:line="276" w:lineRule="auto"/>
        <w:ind w:left="993"/>
        <w:rPr>
          <w:rFonts w:cs="Arial"/>
          <w:szCs w:val="22"/>
        </w:rPr>
      </w:pPr>
      <w:r w:rsidRPr="002F2C33">
        <w:rPr>
          <w:rFonts w:cs="Arial"/>
        </w:rPr>
        <w:t>Is the complainant a child, young person or adult at risk</w:t>
      </w:r>
      <w:r w:rsidR="008E7C64" w:rsidRPr="002F2C33">
        <w:rPr>
          <w:rFonts w:cs="Arial"/>
        </w:rPr>
        <w:t>?</w:t>
      </w:r>
      <w:r w:rsidRPr="002F2C33">
        <w:rPr>
          <w:rFonts w:cs="Arial"/>
        </w:rPr>
        <w:t xml:space="preserve"> If so, staff should refer to the policy “Safeguarding children, young people and adults at risk” when deciding the best course of action.</w:t>
      </w:r>
    </w:p>
    <w:p w14:paraId="087B60D1" w14:textId="77777777" w:rsidR="00721CCF" w:rsidRPr="00A37508" w:rsidRDefault="00721CCF" w:rsidP="0049604D">
      <w:pPr>
        <w:spacing w:line="276" w:lineRule="auto"/>
        <w:rPr>
          <w:rFonts w:cs="Arial"/>
          <w:szCs w:val="22"/>
        </w:rPr>
      </w:pPr>
    </w:p>
    <w:p w14:paraId="003DE7A7" w14:textId="77777777" w:rsidR="00721CCF" w:rsidRPr="0087736D" w:rsidRDefault="00721CCF" w:rsidP="0049604D">
      <w:pPr>
        <w:pStyle w:val="ListNumber"/>
      </w:pPr>
      <w:r w:rsidRPr="0087736D">
        <w:t>If the complainant’s version of events appears to present a clear picture, then arrange to interview the alleged perpetrator.</w:t>
      </w:r>
      <w:r>
        <w:t xml:space="preserve"> </w:t>
      </w:r>
      <w:r w:rsidRPr="0087736D">
        <w:t>An open mind must be kept at this point; there is a responsibility on Transform to investigate the matter fully and without prejudging the outcome.</w:t>
      </w:r>
      <w:r>
        <w:t xml:space="preserve"> </w:t>
      </w:r>
      <w:r w:rsidRPr="0087736D">
        <w:t>There is always a possibility of a malicious/exaggerated accusation but it is also quite possible that the complainant may be entirely accurate.</w:t>
      </w:r>
      <w:r>
        <w:t xml:space="preserve"> </w:t>
      </w:r>
      <w:r w:rsidRPr="0087736D">
        <w:t>The interview with the alleged perpetrator should also be noted carefully.</w:t>
      </w:r>
    </w:p>
    <w:p w14:paraId="61ECAE35" w14:textId="77777777" w:rsidR="00721CCF" w:rsidRDefault="00721CCF" w:rsidP="0049604D">
      <w:pPr>
        <w:pStyle w:val="ListParagraph"/>
        <w:spacing w:line="276" w:lineRule="auto"/>
        <w:rPr>
          <w:rFonts w:cs="Arial"/>
          <w:szCs w:val="22"/>
        </w:rPr>
      </w:pPr>
    </w:p>
    <w:p w14:paraId="4FE41E77" w14:textId="77777777" w:rsidR="00721CCF" w:rsidRPr="0087736D" w:rsidRDefault="00721CCF" w:rsidP="0049604D">
      <w:pPr>
        <w:pStyle w:val="ListNumber"/>
      </w:pPr>
      <w:r w:rsidRPr="0087736D">
        <w:t xml:space="preserve">Interviews should be arranged with any other person who may be able to corroborate </w:t>
      </w:r>
      <w:proofErr w:type="gramStart"/>
      <w:r w:rsidRPr="0087736D">
        <w:t>either/</w:t>
      </w:r>
      <w:proofErr w:type="gramEnd"/>
      <w:r w:rsidRPr="0087736D">
        <w:t>both versions of events.</w:t>
      </w:r>
      <w:r>
        <w:t xml:space="preserve"> </w:t>
      </w:r>
      <w:r w:rsidRPr="0087736D">
        <w:t>Again, careful notes need to be kept.</w:t>
      </w:r>
    </w:p>
    <w:p w14:paraId="7D71A314" w14:textId="77777777" w:rsidR="00721CCF" w:rsidRPr="00272D80" w:rsidRDefault="00721CCF" w:rsidP="0049604D">
      <w:pPr>
        <w:spacing w:line="276" w:lineRule="auto"/>
        <w:rPr>
          <w:rFonts w:cs="Arial"/>
          <w:szCs w:val="22"/>
        </w:rPr>
      </w:pPr>
    </w:p>
    <w:p w14:paraId="0B8A2D08" w14:textId="77777777" w:rsidR="00721CCF" w:rsidRPr="003F2C63" w:rsidRDefault="00721CCF" w:rsidP="0049604D">
      <w:pPr>
        <w:pStyle w:val="ListNumber"/>
      </w:pPr>
      <w:r w:rsidRPr="0087736D">
        <w:t>The available evidence should then be discussed with the appropriate line manager to decide on the next course of action.</w:t>
      </w:r>
      <w:r>
        <w:t xml:space="preserve"> </w:t>
      </w:r>
      <w:r w:rsidRPr="0087736D">
        <w:t>Such a decision should include reference to:</w:t>
      </w:r>
    </w:p>
    <w:p w14:paraId="4EEE3BA3" w14:textId="3EE151D8" w:rsidR="00721CCF" w:rsidRPr="00905D30" w:rsidRDefault="00721CCF" w:rsidP="00FF71B6">
      <w:pPr>
        <w:pStyle w:val="ListParagraph"/>
        <w:numPr>
          <w:ilvl w:val="0"/>
          <w:numId w:val="23"/>
        </w:numPr>
        <w:spacing w:line="276" w:lineRule="auto"/>
        <w:ind w:left="993"/>
        <w:rPr>
          <w:rFonts w:cs="Arial"/>
          <w:szCs w:val="22"/>
        </w:rPr>
      </w:pPr>
      <w:r w:rsidRPr="00905D30">
        <w:rPr>
          <w:rFonts w:cs="Arial"/>
        </w:rPr>
        <w:t>whether the complainant’s version of events is likely to be true on the balance of probability (third party testimony to be included in this decision</w:t>
      </w:r>
      <w:r w:rsidR="008E7C64" w:rsidRPr="00905D30">
        <w:rPr>
          <w:rFonts w:cs="Arial"/>
        </w:rPr>
        <w:t>).</w:t>
      </w:r>
    </w:p>
    <w:p w14:paraId="2472AABE" w14:textId="572F9D82" w:rsidR="00721CCF" w:rsidRPr="00905D30" w:rsidRDefault="00721CCF" w:rsidP="00FF71B6">
      <w:pPr>
        <w:pStyle w:val="ListParagraph"/>
        <w:numPr>
          <w:ilvl w:val="0"/>
          <w:numId w:val="23"/>
        </w:numPr>
        <w:spacing w:line="276" w:lineRule="auto"/>
        <w:ind w:left="993"/>
        <w:rPr>
          <w:rFonts w:cs="Arial"/>
          <w:szCs w:val="22"/>
        </w:rPr>
      </w:pPr>
      <w:r w:rsidRPr="00905D30">
        <w:rPr>
          <w:rFonts w:cs="Arial"/>
        </w:rPr>
        <w:t>the seriousness of the behaviour</w:t>
      </w:r>
      <w:r w:rsidR="008E7C64" w:rsidRPr="00905D30">
        <w:rPr>
          <w:rFonts w:cs="Arial"/>
        </w:rPr>
        <w:t>.</w:t>
      </w:r>
    </w:p>
    <w:p w14:paraId="5E0CFC49" w14:textId="032A27A9" w:rsidR="00721CCF" w:rsidRPr="00905D30" w:rsidRDefault="00721CCF" w:rsidP="00FF71B6">
      <w:pPr>
        <w:pStyle w:val="ListParagraph"/>
        <w:numPr>
          <w:ilvl w:val="0"/>
          <w:numId w:val="23"/>
        </w:numPr>
        <w:spacing w:line="276" w:lineRule="auto"/>
        <w:ind w:left="993"/>
        <w:rPr>
          <w:rFonts w:cs="Arial"/>
          <w:szCs w:val="22"/>
        </w:rPr>
      </w:pPr>
      <w:r w:rsidRPr="00905D30">
        <w:rPr>
          <w:rFonts w:cs="Arial"/>
        </w:rPr>
        <w:t xml:space="preserve">the effect on the </w:t>
      </w:r>
      <w:r w:rsidR="008E7C64" w:rsidRPr="00905D30">
        <w:rPr>
          <w:rFonts w:cs="Arial"/>
        </w:rPr>
        <w:t>complainant.</w:t>
      </w:r>
    </w:p>
    <w:p w14:paraId="33375E61" w14:textId="4E4DA623" w:rsidR="00721CCF" w:rsidRPr="00905D30" w:rsidRDefault="00721CCF" w:rsidP="00FF71B6">
      <w:pPr>
        <w:pStyle w:val="ListParagraph"/>
        <w:numPr>
          <w:ilvl w:val="0"/>
          <w:numId w:val="23"/>
        </w:numPr>
        <w:spacing w:line="276" w:lineRule="auto"/>
        <w:ind w:left="993"/>
        <w:rPr>
          <w:rFonts w:cs="Arial"/>
          <w:szCs w:val="22"/>
        </w:rPr>
      </w:pPr>
      <w:r w:rsidRPr="00905D30">
        <w:rPr>
          <w:rFonts w:cs="Arial"/>
        </w:rPr>
        <w:t xml:space="preserve">the repetitive nature of the behaviour, if </w:t>
      </w:r>
      <w:r w:rsidR="008E7C64" w:rsidRPr="00905D30">
        <w:rPr>
          <w:rFonts w:cs="Arial"/>
        </w:rPr>
        <w:t>any.</w:t>
      </w:r>
    </w:p>
    <w:p w14:paraId="6E2C6B41" w14:textId="77777777" w:rsidR="00721CCF" w:rsidRPr="00905D30" w:rsidRDefault="00721CCF" w:rsidP="00FF71B6">
      <w:pPr>
        <w:pStyle w:val="ListParagraph"/>
        <w:numPr>
          <w:ilvl w:val="0"/>
          <w:numId w:val="23"/>
        </w:numPr>
        <w:spacing w:line="276" w:lineRule="auto"/>
        <w:ind w:left="993"/>
        <w:rPr>
          <w:rFonts w:cs="Arial"/>
          <w:szCs w:val="22"/>
        </w:rPr>
      </w:pPr>
      <w:r w:rsidRPr="00905D30">
        <w:rPr>
          <w:rFonts w:cs="Arial"/>
        </w:rPr>
        <w:t>the possibility of the behaviour increasing in intensity, seriousness or regularity.</w:t>
      </w:r>
    </w:p>
    <w:p w14:paraId="391B8969" w14:textId="77777777" w:rsidR="00721CCF" w:rsidRDefault="00721CCF" w:rsidP="0049604D">
      <w:pPr>
        <w:spacing w:line="276" w:lineRule="auto"/>
        <w:rPr>
          <w:rFonts w:cs="Arial"/>
          <w:szCs w:val="22"/>
        </w:rPr>
      </w:pPr>
    </w:p>
    <w:p w14:paraId="70735117" w14:textId="69EA71E3" w:rsidR="00721CCF" w:rsidRPr="0087736D" w:rsidRDefault="00721CCF" w:rsidP="0049604D">
      <w:pPr>
        <w:pStyle w:val="ListNumber"/>
      </w:pPr>
      <w:r>
        <w:t>If there is no proof of ASB, staff should monitor the situation closely, keeping in touch with the complainant on a regular basis. The complainant and others should be asked to keep a note of incidents using the Incident Recording Log</w:t>
      </w:r>
      <w:r w:rsidR="0079418C">
        <w:t xml:space="preserve"> (Appendix </w:t>
      </w:r>
      <w:r w:rsidR="5D0D7CA8">
        <w:t>9</w:t>
      </w:r>
      <w:r w:rsidR="0079418C">
        <w:t>)</w:t>
      </w:r>
      <w:r>
        <w:t>. A path of dialogue should, where feasible, be kept open between the parties at this stage to maximise the possibility of reconciliation. If staff are experiencing little success with this, then the local authority should be contacted with a view to involving the local Mediation Service.</w:t>
      </w:r>
    </w:p>
    <w:p w14:paraId="12FAD84B" w14:textId="77777777" w:rsidR="00721CCF" w:rsidRPr="00272D80" w:rsidRDefault="00721CCF" w:rsidP="0049604D">
      <w:pPr>
        <w:spacing w:line="276" w:lineRule="auto"/>
        <w:rPr>
          <w:rFonts w:cs="Arial"/>
          <w:szCs w:val="22"/>
        </w:rPr>
      </w:pPr>
    </w:p>
    <w:p w14:paraId="3C486F51" w14:textId="77777777" w:rsidR="00721CCF" w:rsidRPr="0087736D" w:rsidRDefault="00721CCF" w:rsidP="0049604D">
      <w:pPr>
        <w:pStyle w:val="ListNumber"/>
      </w:pPr>
      <w:r w:rsidRPr="0087736D">
        <w:t>If the behaviour is thought to be anti-social and proven, then the line manager should conduct a formal interview with the perpetrator.</w:t>
      </w:r>
      <w:r>
        <w:t xml:space="preserve"> </w:t>
      </w:r>
      <w:r w:rsidRPr="0087736D">
        <w:t>This interview should stress the seriousness of the situation and seek to find ways of minimising it or stopping it altogether.</w:t>
      </w:r>
      <w:r>
        <w:t xml:space="preserve"> </w:t>
      </w:r>
      <w:r w:rsidRPr="0087736D">
        <w:t>Such ways might consist of reconciliation of the parties, the parties merely agreeing to stay apart, or an informal warning to the perpetrator.</w:t>
      </w:r>
    </w:p>
    <w:p w14:paraId="41E34780" w14:textId="77777777" w:rsidR="00721CCF" w:rsidRPr="00272D80" w:rsidRDefault="00721CCF" w:rsidP="0049604D">
      <w:pPr>
        <w:pStyle w:val="ListParagraph"/>
        <w:spacing w:line="276" w:lineRule="auto"/>
        <w:ind w:left="567" w:hanging="567"/>
        <w:rPr>
          <w:rFonts w:cs="Arial"/>
          <w:szCs w:val="22"/>
        </w:rPr>
      </w:pPr>
    </w:p>
    <w:p w14:paraId="473AC182" w14:textId="77777777" w:rsidR="00721CCF" w:rsidRDefault="00721CCF" w:rsidP="0049604D">
      <w:pPr>
        <w:pStyle w:val="ListNumber"/>
      </w:pPr>
      <w:r w:rsidRPr="0087736D">
        <w:lastRenderedPageBreak/>
        <w:t>Should none of the above prove appropriate, or where there is repetition of the behaviour, then, where Transform provides housing to the perpetrator, action under the</w:t>
      </w:r>
      <w:r>
        <w:t>ir</w:t>
      </w:r>
      <w:r w:rsidRPr="0087736D">
        <w:t xml:space="preserve"> tenancy should be considered.</w:t>
      </w:r>
      <w:r>
        <w:t xml:space="preserve"> </w:t>
      </w:r>
      <w:r w:rsidRPr="0087736D">
        <w:t>Formal mediation must be considered at this point if it had proved impossible previously. The Environmental Health Department can be contacted in cases of noise nuisance.</w:t>
      </w:r>
      <w:r>
        <w:t xml:space="preserve"> </w:t>
      </w:r>
    </w:p>
    <w:p w14:paraId="341E610F" w14:textId="77777777" w:rsidR="00721CCF" w:rsidRPr="007B64E0" w:rsidRDefault="00721CCF" w:rsidP="0049604D">
      <w:pPr>
        <w:pStyle w:val="ListParagraph"/>
        <w:spacing w:line="276" w:lineRule="auto"/>
        <w:ind w:left="567" w:hanging="567"/>
        <w:rPr>
          <w:rFonts w:cs="Arial"/>
          <w:szCs w:val="22"/>
        </w:rPr>
      </w:pPr>
    </w:p>
    <w:p w14:paraId="0C7E4535" w14:textId="1907F450" w:rsidR="00721CCF" w:rsidRPr="0087736D" w:rsidRDefault="00721CCF" w:rsidP="0049604D">
      <w:pPr>
        <w:pStyle w:val="ListNumber"/>
      </w:pPr>
      <w:r w:rsidRPr="00EB44E6">
        <w:t xml:space="preserve">In the case of the </w:t>
      </w:r>
      <w:r>
        <w:t xml:space="preserve">perpetrator being a Transform client to whom we do not provide housing (e.g. a </w:t>
      </w:r>
      <w:r w:rsidR="00D4598E">
        <w:t xml:space="preserve">housing related </w:t>
      </w:r>
      <w:r>
        <w:t>support client)</w:t>
      </w:r>
      <w:r w:rsidRPr="00EB44E6">
        <w:t xml:space="preserve"> </w:t>
      </w:r>
      <w:r>
        <w:t xml:space="preserve">where applicable </w:t>
      </w:r>
      <w:r w:rsidRPr="00EB44E6">
        <w:t>all matters relating to tenancy obligations and rights should be directed to the relevant R</w:t>
      </w:r>
      <w:r>
        <w:t>SL.</w:t>
      </w:r>
    </w:p>
    <w:p w14:paraId="6331C40A" w14:textId="77777777" w:rsidR="00721CCF" w:rsidRPr="00272D80" w:rsidRDefault="00721CCF" w:rsidP="0049604D">
      <w:pPr>
        <w:pStyle w:val="ListNumber"/>
        <w:numPr>
          <w:ilvl w:val="0"/>
          <w:numId w:val="0"/>
        </w:numPr>
        <w:ind w:left="567"/>
      </w:pPr>
    </w:p>
    <w:p w14:paraId="073A9FE8" w14:textId="77777777" w:rsidR="00721CCF" w:rsidRPr="0087736D" w:rsidRDefault="00721CCF" w:rsidP="0049604D">
      <w:pPr>
        <w:pStyle w:val="ListNumber"/>
      </w:pPr>
      <w:r w:rsidRPr="0087736D">
        <w:t>Consideration of a breach of the criminal law should also be given and police involvement should be sought if a crime has been committed.</w:t>
      </w:r>
      <w:r>
        <w:t xml:space="preserve"> </w:t>
      </w:r>
      <w:r w:rsidRPr="0087736D">
        <w:t>Full records of all actions taken must be kept.</w:t>
      </w:r>
    </w:p>
    <w:p w14:paraId="6F154CD0" w14:textId="77777777" w:rsidR="00721CCF" w:rsidRPr="00272D80" w:rsidRDefault="00721CCF" w:rsidP="0049604D">
      <w:pPr>
        <w:pStyle w:val="ListNumber"/>
        <w:numPr>
          <w:ilvl w:val="0"/>
          <w:numId w:val="0"/>
        </w:numPr>
        <w:ind w:left="567"/>
      </w:pPr>
    </w:p>
    <w:p w14:paraId="1F30B6FC" w14:textId="77777777" w:rsidR="00721CCF" w:rsidRPr="0087736D" w:rsidRDefault="00721CCF" w:rsidP="0049604D">
      <w:pPr>
        <w:pStyle w:val="ListNumber"/>
      </w:pPr>
      <w:r w:rsidRPr="0087736D">
        <w:t>It must be borne in mind that Transform retains a duty of care to the perpetrator and full su</w:t>
      </w:r>
      <w:r>
        <w:t>pport should be given to them</w:t>
      </w:r>
      <w:r w:rsidRPr="0087736D">
        <w:t xml:space="preserve"> throughout the procedure.</w:t>
      </w:r>
    </w:p>
    <w:p w14:paraId="2AE898EC" w14:textId="77777777" w:rsidR="00721CCF" w:rsidRPr="00272D80" w:rsidRDefault="00721CCF" w:rsidP="0049604D">
      <w:pPr>
        <w:pStyle w:val="ListNumber"/>
        <w:numPr>
          <w:ilvl w:val="0"/>
          <w:numId w:val="0"/>
        </w:numPr>
        <w:ind w:left="567"/>
      </w:pPr>
    </w:p>
    <w:p w14:paraId="383F5221" w14:textId="77777777" w:rsidR="00721CCF" w:rsidRPr="003F2C63" w:rsidRDefault="00721CCF" w:rsidP="00905D30">
      <w:pPr>
        <w:pStyle w:val="ListNumber"/>
        <w:spacing w:after="60"/>
      </w:pPr>
      <w:r w:rsidRPr="0087736D">
        <w:t>Other factors that should be taken into account at this point are:</w:t>
      </w:r>
    </w:p>
    <w:p w14:paraId="703E7EE6" w14:textId="77777777" w:rsidR="00721CCF" w:rsidRPr="00905D30" w:rsidRDefault="00721CCF" w:rsidP="00FF71B6">
      <w:pPr>
        <w:pStyle w:val="ListParagraph"/>
        <w:numPr>
          <w:ilvl w:val="0"/>
          <w:numId w:val="24"/>
        </w:numPr>
        <w:spacing w:line="276" w:lineRule="auto"/>
        <w:rPr>
          <w:rFonts w:cs="Arial"/>
          <w:szCs w:val="22"/>
        </w:rPr>
      </w:pPr>
      <w:r w:rsidRPr="00905D30">
        <w:rPr>
          <w:rFonts w:cs="Arial"/>
        </w:rPr>
        <w:t>Is there evidence of drug or alcohol abuse on the part of the perpetrator?</w:t>
      </w:r>
    </w:p>
    <w:p w14:paraId="28971F43" w14:textId="77777777" w:rsidR="00721CCF" w:rsidRPr="00905D30" w:rsidRDefault="00721CCF" w:rsidP="00FF71B6">
      <w:pPr>
        <w:pStyle w:val="ListParagraph"/>
        <w:numPr>
          <w:ilvl w:val="0"/>
          <w:numId w:val="24"/>
        </w:numPr>
        <w:spacing w:line="276" w:lineRule="auto"/>
        <w:rPr>
          <w:rFonts w:cs="Arial"/>
          <w:szCs w:val="22"/>
        </w:rPr>
      </w:pPr>
      <w:r w:rsidRPr="00905D30">
        <w:rPr>
          <w:rFonts w:cs="Arial"/>
        </w:rPr>
        <w:t>Is there a mental health or learning disability issue present?</w:t>
      </w:r>
    </w:p>
    <w:p w14:paraId="489721C9" w14:textId="77777777" w:rsidR="00721CCF" w:rsidRDefault="00721CCF" w:rsidP="0049604D">
      <w:pPr>
        <w:spacing w:line="276" w:lineRule="auto"/>
        <w:rPr>
          <w:rFonts w:cs="Arial"/>
          <w:szCs w:val="22"/>
        </w:rPr>
      </w:pPr>
    </w:p>
    <w:p w14:paraId="68F7EAB1" w14:textId="77777777" w:rsidR="00721CCF" w:rsidRDefault="00721CCF" w:rsidP="0049604D">
      <w:pPr>
        <w:pStyle w:val="ListNumber"/>
      </w:pPr>
      <w:r>
        <w:t>If either of the above is likely, then the perpetrator should be offered the chance of assistance from a specialist agency. At this point, all multi-agency options should be considered for the perpetrator as for the complainant.</w:t>
      </w:r>
    </w:p>
    <w:p w14:paraId="09F37DDE" w14:textId="77777777" w:rsidR="00721CCF" w:rsidRDefault="00721CCF" w:rsidP="0049604D">
      <w:pPr>
        <w:spacing w:line="276" w:lineRule="auto"/>
        <w:rPr>
          <w:rFonts w:cs="Arial"/>
          <w:szCs w:val="22"/>
        </w:rPr>
      </w:pPr>
    </w:p>
    <w:p w14:paraId="5D3060E6" w14:textId="77777777" w:rsidR="00721CCF" w:rsidRPr="0087736D" w:rsidRDefault="00721CCF" w:rsidP="0049604D">
      <w:pPr>
        <w:pStyle w:val="ListNumber"/>
      </w:pPr>
      <w:r w:rsidRPr="0087736D">
        <w:t>Should repetiti</w:t>
      </w:r>
      <w:r>
        <w:t>ve ASB occur and there is some p</w:t>
      </w:r>
      <w:r w:rsidRPr="0087736D">
        <w:t>olice involvement then the possibility of an Acceptable Behaviour Contract (ABC) should be considered.</w:t>
      </w:r>
      <w:r>
        <w:t xml:space="preserve"> </w:t>
      </w:r>
      <w:r w:rsidRPr="0087736D">
        <w:t>Th</w:t>
      </w:r>
      <w:r>
        <w:t>is will involve contacting the p</w:t>
      </w:r>
      <w:r w:rsidRPr="0087736D">
        <w:t>olice who will consider the possibility of an ABC and then draw it up with the perpetrator if appropriate.</w:t>
      </w:r>
      <w:r>
        <w:t xml:space="preserve"> </w:t>
      </w:r>
      <w:r w:rsidRPr="0087736D">
        <w:t>The subsequent behaviour of the perpetrator should be monitored by staff, recorded an</w:t>
      </w:r>
      <w:r>
        <w:t>d any breaches reported to the p</w:t>
      </w:r>
      <w:r w:rsidRPr="0087736D">
        <w:t>olice as soon as they occur.</w:t>
      </w:r>
    </w:p>
    <w:p w14:paraId="24023AB0" w14:textId="77777777" w:rsidR="00721CCF" w:rsidRPr="00272D80" w:rsidRDefault="00721CCF" w:rsidP="0049604D">
      <w:pPr>
        <w:pStyle w:val="ListNumber"/>
        <w:numPr>
          <w:ilvl w:val="0"/>
          <w:numId w:val="0"/>
        </w:numPr>
        <w:ind w:left="567"/>
      </w:pPr>
    </w:p>
    <w:p w14:paraId="04923155" w14:textId="77777777" w:rsidR="00721CCF" w:rsidRPr="0087736D" w:rsidRDefault="00721CCF" w:rsidP="0049604D">
      <w:pPr>
        <w:pStyle w:val="ListNumber"/>
      </w:pPr>
      <w:r w:rsidRPr="0087736D">
        <w:t xml:space="preserve">Even if </w:t>
      </w:r>
      <w:r>
        <w:t>the p</w:t>
      </w:r>
      <w:r w:rsidRPr="0087736D">
        <w:t>olice are not involved, a behaviour contract can be drawn up between staff and the client</w:t>
      </w:r>
      <w:r>
        <w:t xml:space="preserve"> if they are</w:t>
      </w:r>
      <w:r w:rsidRPr="0087736D">
        <w:t xml:space="preserve"> willing to agree to it.</w:t>
      </w:r>
    </w:p>
    <w:p w14:paraId="777B309D" w14:textId="77777777" w:rsidR="00721CCF" w:rsidRPr="00272D80" w:rsidRDefault="00721CCF" w:rsidP="0049604D">
      <w:pPr>
        <w:pStyle w:val="ListNumber"/>
        <w:numPr>
          <w:ilvl w:val="0"/>
          <w:numId w:val="0"/>
        </w:numPr>
        <w:ind w:left="567"/>
      </w:pPr>
    </w:p>
    <w:p w14:paraId="750696E8" w14:textId="7E5413EE" w:rsidR="00721CCF" w:rsidRPr="00905D30" w:rsidRDefault="00721CCF" w:rsidP="00905D30">
      <w:pPr>
        <w:pStyle w:val="ListNumber"/>
        <w:spacing w:after="60"/>
      </w:pPr>
      <w:r w:rsidRPr="0087736D">
        <w:t>Should none of the above prove effective</w:t>
      </w:r>
      <w:r>
        <w:t xml:space="preserve"> then, where</w:t>
      </w:r>
      <w:r w:rsidRPr="0087736D">
        <w:t xml:space="preserve"> Transform provides housing to the perpetrator, the following</w:t>
      </w:r>
      <w:r>
        <w:t xml:space="preserve"> </w:t>
      </w:r>
      <w:r w:rsidRPr="0087736D">
        <w:t>should be considered</w:t>
      </w:r>
      <w:r>
        <w:t xml:space="preserve"> (Note – where Transform does not provide housing to the perpetrator the following actions may be considered by the relevant RSL where applicable)</w:t>
      </w:r>
      <w:r w:rsidRPr="0087736D">
        <w:t>:</w:t>
      </w:r>
    </w:p>
    <w:p w14:paraId="3BB1FE69" w14:textId="4390B2FE" w:rsidR="00721CCF" w:rsidRPr="006545EA" w:rsidRDefault="00721CCF" w:rsidP="00FF71B6">
      <w:pPr>
        <w:pStyle w:val="ListParagraph"/>
        <w:numPr>
          <w:ilvl w:val="0"/>
          <w:numId w:val="25"/>
        </w:numPr>
        <w:spacing w:after="120" w:line="276" w:lineRule="auto"/>
        <w:rPr>
          <w:rFonts w:cs="Arial"/>
          <w:szCs w:val="22"/>
        </w:rPr>
      </w:pPr>
      <w:r w:rsidRPr="006545EA">
        <w:rPr>
          <w:rFonts w:cs="Arial"/>
        </w:rPr>
        <w:t>Where a breach of Tenancy or Licence Agreement has occurred, then consideration should be given to issuing warnings in line with the Eviction procedures below.</w:t>
      </w:r>
    </w:p>
    <w:p w14:paraId="7DC22FA7" w14:textId="10AA74D4" w:rsidR="00721CCF" w:rsidRPr="006545EA" w:rsidRDefault="00721CCF" w:rsidP="00FF71B6">
      <w:pPr>
        <w:pStyle w:val="ListParagraph"/>
        <w:numPr>
          <w:ilvl w:val="0"/>
          <w:numId w:val="25"/>
        </w:numPr>
        <w:spacing w:after="120" w:line="276" w:lineRule="auto"/>
        <w:rPr>
          <w:rFonts w:cs="Arial"/>
          <w:szCs w:val="22"/>
        </w:rPr>
      </w:pPr>
      <w:r w:rsidRPr="006545EA">
        <w:rPr>
          <w:rFonts w:cs="Arial"/>
        </w:rPr>
        <w:t>Staff may choose to consider offering alternative accommodation to the perpetrator or the complainant. Such consideration would normally only be given on the part of the perpetrator if there were sound reasons for believing that s/he would not repeat their ASB in an alternative tenancy.</w:t>
      </w:r>
    </w:p>
    <w:p w14:paraId="478537C3" w14:textId="3EBB24D4" w:rsidR="00721CCF" w:rsidRPr="006545EA" w:rsidRDefault="00721CCF" w:rsidP="00FF71B6">
      <w:pPr>
        <w:pStyle w:val="ListParagraph"/>
        <w:numPr>
          <w:ilvl w:val="0"/>
          <w:numId w:val="25"/>
        </w:numPr>
        <w:spacing w:after="120" w:line="276" w:lineRule="auto"/>
        <w:rPr>
          <w:rFonts w:cs="Arial"/>
          <w:szCs w:val="22"/>
        </w:rPr>
      </w:pPr>
      <w:r w:rsidRPr="006545EA">
        <w:rPr>
          <w:rFonts w:cs="Arial"/>
        </w:rPr>
        <w:t xml:space="preserve">For Assured </w:t>
      </w:r>
      <w:r w:rsidR="00272CFA" w:rsidRPr="006545EA">
        <w:rPr>
          <w:rFonts w:cs="Arial"/>
        </w:rPr>
        <w:t>Clients</w:t>
      </w:r>
      <w:r w:rsidRPr="006545EA">
        <w:rPr>
          <w:rFonts w:cs="Arial"/>
        </w:rPr>
        <w:t xml:space="preserve"> Court action can be taken to have that Tenancy demoted to an AST. This allows a landlord the future option of issuing a Notice Requiring Possession (NRP) in full which is not possible with an Assured Tenancy. A Court will grant a Demoted Tenancy only if it considers it reasonable to do so.</w:t>
      </w:r>
    </w:p>
    <w:p w14:paraId="42853B6D" w14:textId="1D1DF126" w:rsidR="00721CCF" w:rsidRPr="006545EA" w:rsidRDefault="00721CCF" w:rsidP="00FF71B6">
      <w:pPr>
        <w:pStyle w:val="ListParagraph"/>
        <w:numPr>
          <w:ilvl w:val="0"/>
          <w:numId w:val="25"/>
        </w:numPr>
        <w:spacing w:after="120" w:line="276" w:lineRule="auto"/>
        <w:rPr>
          <w:rFonts w:cs="Arial"/>
          <w:szCs w:val="22"/>
        </w:rPr>
      </w:pPr>
      <w:r w:rsidRPr="006545EA">
        <w:rPr>
          <w:rFonts w:cs="Arial"/>
        </w:rPr>
        <w:t>Service of NRP should be considered for the perpetrator only after all other options have been exhausted.</w:t>
      </w:r>
    </w:p>
    <w:p w14:paraId="229977C4" w14:textId="2BB902FF" w:rsidR="00721CCF" w:rsidRPr="006545EA" w:rsidRDefault="00721CCF" w:rsidP="00FF71B6">
      <w:pPr>
        <w:pStyle w:val="ListParagraph"/>
        <w:numPr>
          <w:ilvl w:val="0"/>
          <w:numId w:val="25"/>
        </w:numPr>
        <w:spacing w:after="120" w:line="276" w:lineRule="auto"/>
        <w:rPr>
          <w:rFonts w:cs="Arial"/>
          <w:szCs w:val="22"/>
        </w:rPr>
      </w:pPr>
      <w:r w:rsidRPr="006545EA">
        <w:rPr>
          <w:rFonts w:cs="Arial"/>
        </w:rPr>
        <w:t>In some circumstances, it is possible that the perpetrator will have a degree of vulnerability that renders eviction an unacceptable option. In this instance, it may be a preferred course of action to pursue other legal options (e.g. Civil Injunctions) with conditions which prohibit the perpetrator from visiting the address of the complainant or approaching them in person</w:t>
      </w:r>
      <w:r w:rsidR="006545EA">
        <w:rPr>
          <w:rFonts w:cs="Arial"/>
        </w:rPr>
        <w:t>.</w:t>
      </w:r>
    </w:p>
    <w:p w14:paraId="74945E4F" w14:textId="77777777" w:rsidR="00721CCF" w:rsidRPr="00420F5B" w:rsidRDefault="00721CCF" w:rsidP="006545EA">
      <w:pPr>
        <w:spacing w:after="120" w:line="276" w:lineRule="auto"/>
        <w:rPr>
          <w:b/>
          <w:bCs/>
        </w:rPr>
      </w:pPr>
      <w:r w:rsidRPr="000C33FA">
        <w:rPr>
          <w:b/>
          <w:bCs/>
        </w:rPr>
        <w:lastRenderedPageBreak/>
        <w:t xml:space="preserve">Procedure to </w:t>
      </w:r>
      <w:r w:rsidRPr="00420F5B">
        <w:rPr>
          <w:b/>
          <w:bCs/>
        </w:rPr>
        <w:t>follow if a complaint is received from a neighbour about a Transform client</w:t>
      </w:r>
    </w:p>
    <w:p w14:paraId="5780D438" w14:textId="02BA8FE5" w:rsidR="00721CCF" w:rsidRPr="00420F5B" w:rsidRDefault="00721CCF" w:rsidP="0049604D">
      <w:pPr>
        <w:pStyle w:val="ListNumber"/>
      </w:pPr>
      <w:r w:rsidRPr="00420F5B">
        <w:t xml:space="preserve">Follow steps </w:t>
      </w:r>
      <w:r w:rsidR="00A771C0" w:rsidRPr="00420F5B">
        <w:rPr>
          <w:color w:val="000000" w:themeColor="text1"/>
        </w:rPr>
        <w:t>1</w:t>
      </w:r>
      <w:r w:rsidR="0079418C" w:rsidRPr="00420F5B">
        <w:rPr>
          <w:color w:val="000000" w:themeColor="text1"/>
        </w:rPr>
        <w:t>.</w:t>
      </w:r>
      <w:r w:rsidR="00A771C0" w:rsidRPr="00420F5B">
        <w:rPr>
          <w:color w:val="000000" w:themeColor="text1"/>
        </w:rPr>
        <w:t>16</w:t>
      </w:r>
      <w:r w:rsidRPr="00420F5B">
        <w:rPr>
          <w:color w:val="000000" w:themeColor="text1"/>
        </w:rPr>
        <w:t xml:space="preserve"> to </w:t>
      </w:r>
      <w:r w:rsidR="00A771C0" w:rsidRPr="00420F5B">
        <w:rPr>
          <w:color w:val="000000" w:themeColor="text1"/>
        </w:rPr>
        <w:t>1</w:t>
      </w:r>
      <w:r w:rsidRPr="00420F5B">
        <w:rPr>
          <w:color w:val="000000" w:themeColor="text1"/>
        </w:rPr>
        <w:t>.</w:t>
      </w:r>
      <w:r w:rsidR="00A771C0" w:rsidRPr="00420F5B">
        <w:rPr>
          <w:color w:val="000000" w:themeColor="text1"/>
        </w:rPr>
        <w:t>23</w:t>
      </w:r>
      <w:r w:rsidRPr="00420F5B">
        <w:rPr>
          <w:color w:val="000000" w:themeColor="text1"/>
        </w:rPr>
        <w:t xml:space="preserve"> </w:t>
      </w:r>
      <w:r w:rsidRPr="00420F5B">
        <w:t>above as far as possible.</w:t>
      </w:r>
    </w:p>
    <w:p w14:paraId="045A3D17" w14:textId="77777777" w:rsidR="00721CCF" w:rsidRPr="00420F5B" w:rsidRDefault="00721CCF" w:rsidP="0049604D">
      <w:pPr>
        <w:pStyle w:val="ListNumber"/>
        <w:numPr>
          <w:ilvl w:val="0"/>
          <w:numId w:val="0"/>
        </w:numPr>
        <w:ind w:left="567"/>
      </w:pPr>
    </w:p>
    <w:p w14:paraId="14E65F8B" w14:textId="459699E4" w:rsidR="00721CCF" w:rsidRPr="00420F5B" w:rsidRDefault="00721CCF" w:rsidP="0049604D">
      <w:pPr>
        <w:pStyle w:val="ListNumber"/>
      </w:pPr>
      <w:r w:rsidRPr="00420F5B">
        <w:t xml:space="preserve">In the case of the alleged perpetrator being a Transform client to whom we do not provide housing (e.g. a </w:t>
      </w:r>
      <w:r w:rsidR="00D4598E" w:rsidRPr="00420F5B">
        <w:t xml:space="preserve">housing related </w:t>
      </w:r>
      <w:r w:rsidRPr="00420F5B">
        <w:t xml:space="preserve">support </w:t>
      </w:r>
      <w:r w:rsidR="00D4598E" w:rsidRPr="00420F5B">
        <w:t>client</w:t>
      </w:r>
      <w:r w:rsidRPr="00420F5B">
        <w:t>) all matters relating to tenancy obligations and rights should be directed to the relevant RSL where applicable.</w:t>
      </w:r>
    </w:p>
    <w:p w14:paraId="501CF0BB" w14:textId="77777777" w:rsidR="00721CCF" w:rsidRPr="00420F5B" w:rsidRDefault="00721CCF" w:rsidP="0049604D">
      <w:pPr>
        <w:spacing w:line="276" w:lineRule="auto"/>
        <w:rPr>
          <w:rFonts w:cs="Arial"/>
          <w:szCs w:val="22"/>
        </w:rPr>
      </w:pPr>
    </w:p>
    <w:p w14:paraId="60FBCB81" w14:textId="77777777" w:rsidR="0063595A" w:rsidRPr="00420F5B" w:rsidRDefault="0063595A" w:rsidP="0049604D">
      <w:pPr>
        <w:spacing w:line="276" w:lineRule="auto"/>
        <w:rPr>
          <w:rFonts w:cs="Arial"/>
          <w:szCs w:val="22"/>
        </w:rPr>
      </w:pPr>
    </w:p>
    <w:p w14:paraId="5D4DF8E0" w14:textId="0861858F" w:rsidR="00721CCF" w:rsidRPr="00420F5B" w:rsidRDefault="00721CCF" w:rsidP="0063595A">
      <w:pPr>
        <w:spacing w:after="120" w:line="276" w:lineRule="auto"/>
        <w:rPr>
          <w:b/>
          <w:bCs/>
        </w:rPr>
      </w:pPr>
      <w:r w:rsidRPr="00420F5B">
        <w:rPr>
          <w:b/>
          <w:bCs/>
        </w:rPr>
        <w:t>Procedure to follow where a complaint is received from a Transform client relating to ASB from unwanted visitors to their accommodation or groups of people in the vicinity.</w:t>
      </w:r>
    </w:p>
    <w:p w14:paraId="1351A456" w14:textId="3F4327C2" w:rsidR="00721CCF" w:rsidRPr="00420F5B" w:rsidRDefault="00721CCF" w:rsidP="0049604D">
      <w:pPr>
        <w:pStyle w:val="ListNumber"/>
      </w:pPr>
      <w:r w:rsidRPr="00420F5B">
        <w:t xml:space="preserve">If possible, follow </w:t>
      </w:r>
      <w:r w:rsidRPr="00420F5B">
        <w:rPr>
          <w:color w:val="000000" w:themeColor="text1"/>
        </w:rPr>
        <w:t xml:space="preserve">steps </w:t>
      </w:r>
      <w:r w:rsidR="00A771C0" w:rsidRPr="00420F5B">
        <w:rPr>
          <w:color w:val="000000" w:themeColor="text1"/>
        </w:rPr>
        <w:t>1.16</w:t>
      </w:r>
      <w:r w:rsidR="0079418C" w:rsidRPr="00420F5B">
        <w:rPr>
          <w:color w:val="000000" w:themeColor="text1"/>
        </w:rPr>
        <w:t xml:space="preserve"> </w:t>
      </w:r>
      <w:r w:rsidRPr="00420F5B">
        <w:rPr>
          <w:color w:val="000000" w:themeColor="text1"/>
        </w:rPr>
        <w:t xml:space="preserve">to </w:t>
      </w:r>
      <w:r w:rsidR="00A771C0" w:rsidRPr="00420F5B">
        <w:rPr>
          <w:color w:val="000000" w:themeColor="text1"/>
        </w:rPr>
        <w:t>1.21</w:t>
      </w:r>
      <w:r w:rsidRPr="00420F5B">
        <w:rPr>
          <w:color w:val="000000" w:themeColor="text1"/>
        </w:rPr>
        <w:t xml:space="preserve"> </w:t>
      </w:r>
      <w:r w:rsidRPr="00420F5B">
        <w:t>after a full risk assessment has been undertaken. If the complaint involves threats or harassment, it may not be possible to communicate effectively with the alleged perpetrators and staff should always proceed with due care for their safety.</w:t>
      </w:r>
    </w:p>
    <w:p w14:paraId="3E1A38F4" w14:textId="77777777" w:rsidR="00721CCF" w:rsidRPr="00420F5B" w:rsidRDefault="00721CCF" w:rsidP="0049604D">
      <w:pPr>
        <w:pStyle w:val="ListNumber"/>
        <w:numPr>
          <w:ilvl w:val="0"/>
          <w:numId w:val="0"/>
        </w:numPr>
        <w:ind w:left="567"/>
      </w:pPr>
    </w:p>
    <w:p w14:paraId="39748692" w14:textId="7CC66D7F" w:rsidR="00721CCF" w:rsidRPr="00420F5B" w:rsidRDefault="00721CCF" w:rsidP="0063595A">
      <w:pPr>
        <w:pStyle w:val="ListNumber"/>
        <w:spacing w:after="60"/>
      </w:pPr>
      <w:r w:rsidRPr="00420F5B">
        <w:t>If the perpetrator is an unwanted visitor:</w:t>
      </w:r>
    </w:p>
    <w:p w14:paraId="39410F07" w14:textId="5B319C5F" w:rsidR="00721CCF" w:rsidRPr="00420F5B" w:rsidRDefault="00721CCF" w:rsidP="00FF71B6">
      <w:pPr>
        <w:pStyle w:val="ListParagraph"/>
        <w:numPr>
          <w:ilvl w:val="0"/>
          <w:numId w:val="26"/>
        </w:numPr>
        <w:spacing w:line="276" w:lineRule="auto"/>
        <w:rPr>
          <w:rFonts w:cs="Arial"/>
          <w:szCs w:val="22"/>
        </w:rPr>
      </w:pPr>
      <w:r w:rsidRPr="00420F5B">
        <w:rPr>
          <w:rFonts w:cs="Arial"/>
        </w:rPr>
        <w:t>Explore ways that the complainant might handle the situation informally. If there is no risk of violence, then all reasonable assistance should be offered, including advocating on the client’s behalf with the visitor. This might include assisting the client in telling the visitor to leave and not to return.</w:t>
      </w:r>
    </w:p>
    <w:p w14:paraId="2A155190" w14:textId="55920053" w:rsidR="00721CCF" w:rsidRPr="00420F5B" w:rsidRDefault="00721CCF" w:rsidP="00FF71B6">
      <w:pPr>
        <w:pStyle w:val="ListParagraph"/>
        <w:numPr>
          <w:ilvl w:val="0"/>
          <w:numId w:val="26"/>
        </w:numPr>
        <w:spacing w:line="276" w:lineRule="auto"/>
        <w:rPr>
          <w:rFonts w:cs="Arial"/>
          <w:szCs w:val="22"/>
        </w:rPr>
      </w:pPr>
      <w:r w:rsidRPr="00420F5B">
        <w:rPr>
          <w:rFonts w:cs="Arial"/>
        </w:rPr>
        <w:t xml:space="preserve">Ascertain if the visitor(s) are guests of another Transform client in the same or adjoining property. If so, follow steps </w:t>
      </w:r>
      <w:r w:rsidR="00A771C0" w:rsidRPr="00420F5B">
        <w:rPr>
          <w:rFonts w:cs="Arial"/>
          <w:color w:val="000000" w:themeColor="text1"/>
        </w:rPr>
        <w:t>1.24</w:t>
      </w:r>
      <w:r w:rsidRPr="00420F5B">
        <w:rPr>
          <w:rFonts w:cs="Arial"/>
          <w:color w:val="000000" w:themeColor="text1"/>
        </w:rPr>
        <w:t xml:space="preserve"> to </w:t>
      </w:r>
      <w:r w:rsidR="00A771C0" w:rsidRPr="00420F5B">
        <w:rPr>
          <w:rFonts w:cs="Arial"/>
          <w:color w:val="000000" w:themeColor="text1"/>
        </w:rPr>
        <w:t>1.25</w:t>
      </w:r>
      <w:r w:rsidRPr="00420F5B">
        <w:rPr>
          <w:rFonts w:cs="Arial"/>
          <w:color w:val="000000" w:themeColor="text1"/>
        </w:rPr>
        <w:t xml:space="preserve"> </w:t>
      </w:r>
      <w:r w:rsidRPr="00420F5B">
        <w:rPr>
          <w:rFonts w:cs="Arial"/>
        </w:rPr>
        <w:t>above.</w:t>
      </w:r>
    </w:p>
    <w:p w14:paraId="47756FBB" w14:textId="070C5E0D" w:rsidR="00721CCF" w:rsidRPr="0063595A" w:rsidRDefault="00721CCF" w:rsidP="00FF71B6">
      <w:pPr>
        <w:pStyle w:val="ListParagraph"/>
        <w:numPr>
          <w:ilvl w:val="0"/>
          <w:numId w:val="26"/>
        </w:numPr>
        <w:spacing w:line="276" w:lineRule="auto"/>
        <w:rPr>
          <w:rFonts w:cs="Arial"/>
          <w:szCs w:val="22"/>
        </w:rPr>
      </w:pPr>
      <w:r w:rsidRPr="00420F5B">
        <w:rPr>
          <w:rFonts w:cs="Arial"/>
        </w:rPr>
        <w:t>Partner agencies might assist with an informal</w:t>
      </w:r>
      <w:r w:rsidRPr="0063595A">
        <w:rPr>
          <w:rFonts w:cs="Arial"/>
        </w:rPr>
        <w:t xml:space="preserve"> solution and should be informed of all developments that occur. They may also bring additional information about the visitor which may lead to the situation being dealt with in an informal way.</w:t>
      </w:r>
    </w:p>
    <w:p w14:paraId="29478779" w14:textId="4CA0923D" w:rsidR="00721CCF" w:rsidRPr="0063595A" w:rsidRDefault="00721CCF" w:rsidP="00FF71B6">
      <w:pPr>
        <w:pStyle w:val="ListParagraph"/>
        <w:numPr>
          <w:ilvl w:val="0"/>
          <w:numId w:val="26"/>
        </w:numPr>
        <w:spacing w:line="276" w:lineRule="auto"/>
        <w:rPr>
          <w:rFonts w:cs="Arial"/>
          <w:szCs w:val="22"/>
        </w:rPr>
      </w:pPr>
      <w:r w:rsidRPr="0063595A">
        <w:rPr>
          <w:rFonts w:cs="Arial"/>
        </w:rPr>
        <w:t xml:space="preserve">Should there be a risk of violence at any time, then the police should be called. Close liaison should then be maintained with the police should there be repetition of the visits. </w:t>
      </w:r>
    </w:p>
    <w:p w14:paraId="7ED6198A" w14:textId="1CE687BD" w:rsidR="00721CCF" w:rsidRPr="0063595A" w:rsidRDefault="00721CCF" w:rsidP="00FF71B6">
      <w:pPr>
        <w:pStyle w:val="ListParagraph"/>
        <w:numPr>
          <w:ilvl w:val="0"/>
          <w:numId w:val="26"/>
        </w:numPr>
        <w:spacing w:line="276" w:lineRule="auto"/>
        <w:rPr>
          <w:rFonts w:cs="Arial"/>
          <w:szCs w:val="22"/>
        </w:rPr>
      </w:pPr>
      <w:r w:rsidRPr="0063595A">
        <w:rPr>
          <w:rFonts w:cs="Arial"/>
        </w:rPr>
        <w:t>Consideration of a breach of the criminal law should also be given and police involvement sought if a crime has been committed. Full records of all actions taken must be kept.</w:t>
      </w:r>
    </w:p>
    <w:p w14:paraId="769EAD9A" w14:textId="157D6204" w:rsidR="00721CCF" w:rsidRPr="0063595A" w:rsidRDefault="00721CCF" w:rsidP="00FF71B6">
      <w:pPr>
        <w:pStyle w:val="ListParagraph"/>
        <w:numPr>
          <w:ilvl w:val="0"/>
          <w:numId w:val="26"/>
        </w:numPr>
        <w:spacing w:line="276" w:lineRule="auto"/>
        <w:rPr>
          <w:rFonts w:cs="Arial"/>
        </w:rPr>
      </w:pPr>
      <w:r w:rsidRPr="0063595A">
        <w:rPr>
          <w:rFonts w:cs="Arial"/>
        </w:rPr>
        <w:t xml:space="preserve">The </w:t>
      </w:r>
      <w:r w:rsidR="3A0FEC6C" w:rsidRPr="0063595A">
        <w:rPr>
          <w:rFonts w:cs="Arial"/>
        </w:rPr>
        <w:t>Head of Housing and Support</w:t>
      </w:r>
      <w:r w:rsidRPr="0063595A">
        <w:rPr>
          <w:rFonts w:cs="Arial"/>
        </w:rPr>
        <w:t xml:space="preserve"> should be kept appraised of developments.</w:t>
      </w:r>
    </w:p>
    <w:p w14:paraId="2E1B550D" w14:textId="77777777" w:rsidR="00721CCF" w:rsidRDefault="00721CCF" w:rsidP="0049604D">
      <w:pPr>
        <w:spacing w:line="276" w:lineRule="auto"/>
        <w:rPr>
          <w:rFonts w:cs="Arial"/>
          <w:szCs w:val="22"/>
        </w:rPr>
      </w:pPr>
    </w:p>
    <w:p w14:paraId="699AAB3D" w14:textId="77777777" w:rsidR="00721CCF" w:rsidRPr="007A0604" w:rsidRDefault="00721CCF" w:rsidP="0049604D">
      <w:pPr>
        <w:pStyle w:val="ListNumber"/>
      </w:pPr>
      <w:r>
        <w:t>If the perpetrator is</w:t>
      </w:r>
      <w:r w:rsidRPr="007A0604">
        <w:t xml:space="preserve"> causing the alleged ASB in the vicinity but not on Transform premises:</w:t>
      </w:r>
    </w:p>
    <w:p w14:paraId="6DA822FE" w14:textId="77777777" w:rsidR="00721CCF" w:rsidRPr="007A0604" w:rsidRDefault="00721CCF" w:rsidP="0049604D">
      <w:pPr>
        <w:pStyle w:val="BodyTextIndent"/>
        <w:spacing w:line="276" w:lineRule="auto"/>
        <w:jc w:val="left"/>
        <w:rPr>
          <w:rFonts w:ascii="Arial" w:hAnsi="Arial" w:cs="Arial"/>
          <w:sz w:val="22"/>
          <w:szCs w:val="22"/>
        </w:rPr>
      </w:pPr>
    </w:p>
    <w:p w14:paraId="66535053" w14:textId="692D218C" w:rsidR="00721CCF" w:rsidRDefault="00721CCF" w:rsidP="00FF71B6">
      <w:pPr>
        <w:pStyle w:val="BodyTextIndent"/>
        <w:numPr>
          <w:ilvl w:val="1"/>
          <w:numId w:val="11"/>
        </w:numPr>
        <w:spacing w:line="276" w:lineRule="auto"/>
        <w:jc w:val="left"/>
        <w:rPr>
          <w:rFonts w:ascii="Arial" w:hAnsi="Arial" w:cs="Arial"/>
          <w:sz w:val="22"/>
          <w:szCs w:val="22"/>
        </w:rPr>
      </w:pPr>
      <w:r>
        <w:rPr>
          <w:rFonts w:ascii="Arial" w:hAnsi="Arial" w:cs="Arial"/>
          <w:sz w:val="22"/>
          <w:szCs w:val="22"/>
        </w:rPr>
        <w:t xml:space="preserve">Interview the complainant and take notes. </w:t>
      </w:r>
    </w:p>
    <w:p w14:paraId="036CE45C" w14:textId="77777777" w:rsidR="0079418C" w:rsidRDefault="0079418C" w:rsidP="0049604D">
      <w:pPr>
        <w:pStyle w:val="BodyTextIndent"/>
        <w:spacing w:line="276" w:lineRule="auto"/>
        <w:ind w:left="927"/>
        <w:jc w:val="left"/>
        <w:rPr>
          <w:rFonts w:ascii="Arial" w:hAnsi="Arial" w:cs="Arial"/>
          <w:sz w:val="22"/>
          <w:szCs w:val="22"/>
        </w:rPr>
      </w:pPr>
    </w:p>
    <w:p w14:paraId="3FFC9C90" w14:textId="7DF4A474" w:rsidR="00721CCF" w:rsidRDefault="00721CCF" w:rsidP="00FF71B6">
      <w:pPr>
        <w:pStyle w:val="BodyTextIndent"/>
        <w:numPr>
          <w:ilvl w:val="1"/>
          <w:numId w:val="11"/>
        </w:numPr>
        <w:spacing w:line="276" w:lineRule="auto"/>
        <w:jc w:val="left"/>
        <w:rPr>
          <w:rFonts w:ascii="Arial" w:hAnsi="Arial" w:cs="Arial"/>
          <w:sz w:val="22"/>
          <w:szCs w:val="22"/>
        </w:rPr>
      </w:pPr>
      <w:r w:rsidRPr="00721CCF">
        <w:rPr>
          <w:rFonts w:ascii="Arial" w:hAnsi="Arial" w:cs="Arial"/>
          <w:sz w:val="22"/>
          <w:szCs w:val="22"/>
        </w:rPr>
        <w:t xml:space="preserve">Interview other </w:t>
      </w:r>
      <w:r w:rsidR="0077010A">
        <w:rPr>
          <w:rFonts w:ascii="Arial" w:hAnsi="Arial" w:cs="Arial"/>
          <w:sz w:val="22"/>
          <w:szCs w:val="22"/>
        </w:rPr>
        <w:t>clients</w:t>
      </w:r>
      <w:r w:rsidRPr="00721CCF">
        <w:rPr>
          <w:rFonts w:ascii="Arial" w:hAnsi="Arial" w:cs="Arial"/>
          <w:sz w:val="22"/>
          <w:szCs w:val="22"/>
        </w:rPr>
        <w:t>/</w:t>
      </w:r>
      <w:r w:rsidR="00272CFA">
        <w:rPr>
          <w:rFonts w:ascii="Arial" w:hAnsi="Arial" w:cs="Arial"/>
          <w:sz w:val="22"/>
          <w:szCs w:val="22"/>
        </w:rPr>
        <w:t>clients</w:t>
      </w:r>
      <w:r w:rsidRPr="00721CCF">
        <w:rPr>
          <w:rFonts w:ascii="Arial" w:hAnsi="Arial" w:cs="Arial"/>
          <w:sz w:val="22"/>
          <w:szCs w:val="22"/>
        </w:rPr>
        <w:t xml:space="preserve"> in the same or adjoining properties. If the property is surrounded by those of another RSL, contact that organisation to ascertain if other complaints have been received from their </w:t>
      </w:r>
      <w:r w:rsidR="00272CFA">
        <w:rPr>
          <w:rFonts w:ascii="Arial" w:hAnsi="Arial" w:cs="Arial"/>
          <w:sz w:val="22"/>
          <w:szCs w:val="22"/>
        </w:rPr>
        <w:t>clients</w:t>
      </w:r>
      <w:r w:rsidRPr="00721CCF">
        <w:rPr>
          <w:rFonts w:ascii="Arial" w:hAnsi="Arial" w:cs="Arial"/>
          <w:sz w:val="22"/>
          <w:szCs w:val="22"/>
        </w:rPr>
        <w:t>.</w:t>
      </w:r>
    </w:p>
    <w:p w14:paraId="13205832" w14:textId="77777777" w:rsidR="0079418C" w:rsidRDefault="0079418C" w:rsidP="0049604D">
      <w:pPr>
        <w:pStyle w:val="BodyTextIndent"/>
        <w:spacing w:line="276" w:lineRule="auto"/>
        <w:ind w:left="927"/>
        <w:jc w:val="left"/>
        <w:rPr>
          <w:rFonts w:ascii="Arial" w:hAnsi="Arial" w:cs="Arial"/>
          <w:sz w:val="22"/>
          <w:szCs w:val="22"/>
        </w:rPr>
      </w:pPr>
    </w:p>
    <w:p w14:paraId="33D856ED" w14:textId="5AE42E95" w:rsidR="00721CCF" w:rsidRDefault="00721CCF" w:rsidP="00FF71B6">
      <w:pPr>
        <w:pStyle w:val="BodyTextIndent"/>
        <w:numPr>
          <w:ilvl w:val="1"/>
          <w:numId w:val="11"/>
        </w:numPr>
        <w:spacing w:line="276" w:lineRule="auto"/>
        <w:jc w:val="left"/>
        <w:rPr>
          <w:rFonts w:ascii="Arial" w:hAnsi="Arial" w:cs="Arial"/>
          <w:sz w:val="22"/>
          <w:szCs w:val="22"/>
        </w:rPr>
      </w:pPr>
      <w:r w:rsidRPr="00721CCF">
        <w:rPr>
          <w:rFonts w:ascii="Arial" w:hAnsi="Arial" w:cs="Arial"/>
          <w:sz w:val="22"/>
          <w:szCs w:val="22"/>
        </w:rPr>
        <w:t xml:space="preserve">Contact the police to ascertain if they have been called to the scene or taken any action against the alleged perpetrators. </w:t>
      </w:r>
    </w:p>
    <w:p w14:paraId="7EDC01B6" w14:textId="77777777" w:rsidR="0079418C" w:rsidRDefault="0079418C" w:rsidP="0049604D">
      <w:pPr>
        <w:pStyle w:val="BodyTextIndent"/>
        <w:spacing w:line="276" w:lineRule="auto"/>
        <w:ind w:left="927"/>
        <w:jc w:val="left"/>
        <w:rPr>
          <w:rFonts w:ascii="Arial" w:hAnsi="Arial" w:cs="Arial"/>
          <w:sz w:val="22"/>
          <w:szCs w:val="22"/>
        </w:rPr>
      </w:pPr>
    </w:p>
    <w:p w14:paraId="3F601E11" w14:textId="475755E0" w:rsidR="00721CCF" w:rsidRDefault="00721CCF" w:rsidP="00FF71B6">
      <w:pPr>
        <w:pStyle w:val="BodyTextIndent"/>
        <w:numPr>
          <w:ilvl w:val="1"/>
          <w:numId w:val="11"/>
        </w:numPr>
        <w:spacing w:line="276" w:lineRule="auto"/>
        <w:jc w:val="left"/>
        <w:rPr>
          <w:rFonts w:ascii="Arial" w:hAnsi="Arial" w:cs="Arial"/>
          <w:sz w:val="22"/>
          <w:szCs w:val="22"/>
        </w:rPr>
      </w:pPr>
      <w:r w:rsidRPr="401FB319">
        <w:rPr>
          <w:rFonts w:ascii="Arial" w:hAnsi="Arial" w:cs="Arial"/>
          <w:sz w:val="22"/>
          <w:szCs w:val="22"/>
        </w:rPr>
        <w:t xml:space="preserve">At this </w:t>
      </w:r>
      <w:r w:rsidR="0079418C" w:rsidRPr="401FB319">
        <w:rPr>
          <w:rFonts w:ascii="Arial" w:hAnsi="Arial" w:cs="Arial"/>
          <w:sz w:val="22"/>
          <w:szCs w:val="22"/>
        </w:rPr>
        <w:t>point</w:t>
      </w:r>
      <w:r w:rsidRPr="401FB319">
        <w:rPr>
          <w:rFonts w:ascii="Arial" w:hAnsi="Arial" w:cs="Arial"/>
          <w:sz w:val="22"/>
          <w:szCs w:val="22"/>
        </w:rPr>
        <w:t>, the evidence against the alleged perpetrators should be reviewed with the</w:t>
      </w:r>
      <w:r w:rsidR="7F273800" w:rsidRPr="401FB319">
        <w:rPr>
          <w:rFonts w:ascii="Arial" w:hAnsi="Arial" w:cs="Arial"/>
          <w:sz w:val="22"/>
          <w:szCs w:val="22"/>
        </w:rPr>
        <w:t xml:space="preserve"> Head of Housing and Support</w:t>
      </w:r>
      <w:r w:rsidRPr="401FB319">
        <w:rPr>
          <w:rFonts w:ascii="Arial" w:hAnsi="Arial" w:cs="Arial"/>
          <w:sz w:val="22"/>
          <w:szCs w:val="22"/>
        </w:rPr>
        <w:t xml:space="preserve"> to decide on </w:t>
      </w:r>
      <w:r w:rsidR="0AE03086" w:rsidRPr="401FB319">
        <w:rPr>
          <w:rFonts w:ascii="Arial" w:hAnsi="Arial" w:cs="Arial"/>
          <w:sz w:val="22"/>
          <w:szCs w:val="22"/>
        </w:rPr>
        <w:t xml:space="preserve">the </w:t>
      </w:r>
      <w:r w:rsidRPr="401FB319">
        <w:rPr>
          <w:rFonts w:ascii="Arial" w:hAnsi="Arial" w:cs="Arial"/>
          <w:sz w:val="22"/>
          <w:szCs w:val="22"/>
        </w:rPr>
        <w:t>next steps.</w:t>
      </w:r>
    </w:p>
    <w:p w14:paraId="3902D943" w14:textId="77777777" w:rsidR="0079418C" w:rsidRDefault="0079418C" w:rsidP="0049604D">
      <w:pPr>
        <w:pStyle w:val="BodyTextIndent"/>
        <w:spacing w:line="276" w:lineRule="auto"/>
        <w:ind w:left="927"/>
        <w:jc w:val="left"/>
        <w:rPr>
          <w:rFonts w:ascii="Arial" w:hAnsi="Arial" w:cs="Arial"/>
          <w:sz w:val="22"/>
          <w:szCs w:val="22"/>
        </w:rPr>
      </w:pPr>
    </w:p>
    <w:p w14:paraId="543BBD8E" w14:textId="3D55AFD0" w:rsidR="00721CCF" w:rsidRDefault="00721CCF" w:rsidP="00FF71B6">
      <w:pPr>
        <w:pStyle w:val="BodyTextIndent"/>
        <w:numPr>
          <w:ilvl w:val="1"/>
          <w:numId w:val="11"/>
        </w:numPr>
        <w:spacing w:line="276" w:lineRule="auto"/>
        <w:jc w:val="left"/>
        <w:rPr>
          <w:rFonts w:ascii="Arial" w:hAnsi="Arial" w:cs="Arial"/>
          <w:sz w:val="22"/>
          <w:szCs w:val="22"/>
        </w:rPr>
      </w:pPr>
      <w:r w:rsidRPr="00721CCF">
        <w:rPr>
          <w:rFonts w:ascii="Arial" w:hAnsi="Arial" w:cs="Arial"/>
          <w:sz w:val="22"/>
          <w:szCs w:val="22"/>
        </w:rPr>
        <w:t>If the police are willing, they may be able to take informal action and cease the ASB. If this is not possible, speak to the Police Officer with Community Responsibilities for advice on other courses of action. At the same time, the local authority Community Safety Officer should be contacted to look at multi-agency methods of countering the problem. This might include presenting a case at the local CIAG or JAG. It is possible that the CIAG/JAG may have access to diversionary/mediation services for the alleged perpetrators and this might halt the problem.</w:t>
      </w:r>
    </w:p>
    <w:p w14:paraId="1B469B8D" w14:textId="77777777" w:rsidR="0079418C" w:rsidRDefault="0079418C" w:rsidP="0049604D">
      <w:pPr>
        <w:pStyle w:val="BodyTextIndent"/>
        <w:spacing w:line="276" w:lineRule="auto"/>
        <w:ind w:left="927"/>
        <w:jc w:val="left"/>
        <w:rPr>
          <w:rFonts w:ascii="Arial" w:hAnsi="Arial" w:cs="Arial"/>
          <w:sz w:val="22"/>
          <w:szCs w:val="22"/>
        </w:rPr>
      </w:pPr>
    </w:p>
    <w:p w14:paraId="481306AF" w14:textId="50FB2C55" w:rsidR="00721CCF" w:rsidRDefault="00721CCF" w:rsidP="00FF71B6">
      <w:pPr>
        <w:pStyle w:val="BodyTextIndent"/>
        <w:numPr>
          <w:ilvl w:val="1"/>
          <w:numId w:val="11"/>
        </w:numPr>
        <w:spacing w:line="276" w:lineRule="auto"/>
        <w:jc w:val="left"/>
        <w:rPr>
          <w:rFonts w:ascii="Arial" w:hAnsi="Arial" w:cs="Arial"/>
          <w:sz w:val="22"/>
          <w:szCs w:val="22"/>
        </w:rPr>
      </w:pPr>
      <w:r w:rsidRPr="401FB319">
        <w:rPr>
          <w:rFonts w:ascii="Arial" w:hAnsi="Arial" w:cs="Arial"/>
          <w:sz w:val="22"/>
          <w:szCs w:val="22"/>
        </w:rPr>
        <w:lastRenderedPageBreak/>
        <w:t xml:space="preserve">Should the ASB continue, then formal action such as a Civil Injunction or Criminal Behaviour Order must be considered. If the case has been taken to the CIAG, it is possible that the police will take up proceedings. If not, then the </w:t>
      </w:r>
      <w:r w:rsidR="78B4D19D" w:rsidRPr="401FB319">
        <w:rPr>
          <w:rFonts w:ascii="Arial" w:hAnsi="Arial" w:cs="Arial"/>
          <w:sz w:val="22"/>
          <w:szCs w:val="22"/>
        </w:rPr>
        <w:t>Head of Housing and Support</w:t>
      </w:r>
      <w:r w:rsidRPr="401FB319">
        <w:rPr>
          <w:rFonts w:ascii="Arial" w:hAnsi="Arial" w:cs="Arial"/>
          <w:sz w:val="22"/>
          <w:szCs w:val="22"/>
        </w:rPr>
        <w:t xml:space="preserve"> and the members of the team involved will look again at the evidence and assess the need and possibility of obtaining an Injunction.</w:t>
      </w:r>
    </w:p>
    <w:p w14:paraId="2E2CA027" w14:textId="77777777" w:rsidR="0079418C" w:rsidRDefault="0079418C" w:rsidP="0049604D">
      <w:pPr>
        <w:pStyle w:val="BodyTextIndent"/>
        <w:spacing w:line="276" w:lineRule="auto"/>
        <w:ind w:left="927"/>
        <w:jc w:val="left"/>
        <w:rPr>
          <w:rFonts w:ascii="Arial" w:hAnsi="Arial" w:cs="Arial"/>
          <w:sz w:val="22"/>
          <w:szCs w:val="22"/>
        </w:rPr>
      </w:pPr>
    </w:p>
    <w:p w14:paraId="60929BC8" w14:textId="77777777" w:rsidR="00721CCF" w:rsidRPr="00721CCF" w:rsidRDefault="00721CCF" w:rsidP="00FF71B6">
      <w:pPr>
        <w:pStyle w:val="BodyTextIndent"/>
        <w:numPr>
          <w:ilvl w:val="1"/>
          <w:numId w:val="11"/>
        </w:numPr>
        <w:spacing w:line="276" w:lineRule="auto"/>
        <w:jc w:val="left"/>
        <w:rPr>
          <w:rFonts w:ascii="Arial" w:hAnsi="Arial" w:cs="Arial"/>
          <w:sz w:val="22"/>
          <w:szCs w:val="22"/>
        </w:rPr>
      </w:pPr>
      <w:r w:rsidRPr="00721CCF">
        <w:rPr>
          <w:rFonts w:ascii="Arial" w:hAnsi="Arial" w:cs="Arial"/>
          <w:sz w:val="22"/>
          <w:szCs w:val="22"/>
        </w:rPr>
        <w:t>The welfare of Transform clients should be kept as a priority throughout this procedure and consideration should be given to moving the complainant to another property, permanently or temporarily. This should particularly be the case if his/her mental health is suffering or s/he is likely to place themselves in danger by attempting to intervene personally with the alleged perpetrators. If the case comes to Court and the victim is to appear as a witness, support should be given throughout the Court case. Victims should also be referred to relevant support agencies e.g. Victim Support, if necessary.</w:t>
      </w:r>
    </w:p>
    <w:p w14:paraId="0DF9A20C" w14:textId="77777777" w:rsidR="00721CCF" w:rsidRDefault="00721CCF" w:rsidP="0049604D">
      <w:pPr>
        <w:pStyle w:val="BodyTextIndent"/>
        <w:spacing w:line="276" w:lineRule="auto"/>
        <w:ind w:left="0"/>
        <w:jc w:val="left"/>
        <w:rPr>
          <w:rFonts w:ascii="Arial" w:hAnsi="Arial" w:cs="Arial"/>
          <w:sz w:val="22"/>
          <w:szCs w:val="22"/>
        </w:rPr>
      </w:pPr>
    </w:p>
    <w:p w14:paraId="3AD6AD8D" w14:textId="4DDDF37B" w:rsidR="00721CCF" w:rsidRPr="0063595A" w:rsidRDefault="00721CCF" w:rsidP="00A81039">
      <w:pPr>
        <w:spacing w:after="120" w:line="276" w:lineRule="auto"/>
        <w:rPr>
          <w:b/>
          <w:bCs/>
        </w:rPr>
      </w:pPr>
      <w:r w:rsidRPr="000C33FA">
        <w:rPr>
          <w:b/>
          <w:bCs/>
        </w:rPr>
        <w:t>Procedure to follow if a complaint is received from a Transform client relating to a neighbour in a nearby property.</w:t>
      </w:r>
    </w:p>
    <w:p w14:paraId="58CCD2B6" w14:textId="15D73088" w:rsidR="00721CCF" w:rsidRPr="00420F5B" w:rsidRDefault="00721CCF" w:rsidP="0049604D">
      <w:pPr>
        <w:pStyle w:val="ListNumber"/>
      </w:pPr>
      <w:r w:rsidRPr="00420F5B">
        <w:t xml:space="preserve">Follow steps </w:t>
      </w:r>
      <w:r w:rsidRPr="00420F5B">
        <w:rPr>
          <w:color w:val="000000" w:themeColor="text1"/>
        </w:rPr>
        <w:t xml:space="preserve">in </w:t>
      </w:r>
      <w:r w:rsidR="00A771C0" w:rsidRPr="00420F5B">
        <w:rPr>
          <w:color w:val="000000" w:themeColor="text1"/>
        </w:rPr>
        <w:t>1.16</w:t>
      </w:r>
      <w:r w:rsidRPr="00420F5B">
        <w:rPr>
          <w:color w:val="000000" w:themeColor="text1"/>
        </w:rPr>
        <w:t xml:space="preserve">, </w:t>
      </w:r>
      <w:r w:rsidR="00A771C0" w:rsidRPr="00420F5B">
        <w:rPr>
          <w:color w:val="000000" w:themeColor="text1"/>
        </w:rPr>
        <w:t>1.17</w:t>
      </w:r>
      <w:r w:rsidRPr="00420F5B">
        <w:rPr>
          <w:color w:val="000000" w:themeColor="text1"/>
        </w:rPr>
        <w:t xml:space="preserve">, </w:t>
      </w:r>
      <w:r w:rsidR="00A771C0" w:rsidRPr="00420F5B">
        <w:rPr>
          <w:color w:val="000000" w:themeColor="text1"/>
        </w:rPr>
        <w:t>1</w:t>
      </w:r>
      <w:r w:rsidR="0079418C" w:rsidRPr="00420F5B">
        <w:rPr>
          <w:color w:val="000000" w:themeColor="text1"/>
        </w:rPr>
        <w:t>.</w:t>
      </w:r>
      <w:r w:rsidR="00A771C0" w:rsidRPr="00420F5B">
        <w:rPr>
          <w:color w:val="000000" w:themeColor="text1"/>
        </w:rPr>
        <w:t>19</w:t>
      </w:r>
      <w:r w:rsidR="00FC4C60" w:rsidRPr="00420F5B">
        <w:rPr>
          <w:color w:val="000000" w:themeColor="text1"/>
        </w:rPr>
        <w:t xml:space="preserve"> </w:t>
      </w:r>
      <w:r w:rsidRPr="00420F5B">
        <w:rPr>
          <w:color w:val="000000" w:themeColor="text1"/>
        </w:rPr>
        <w:t xml:space="preserve">and </w:t>
      </w:r>
      <w:r w:rsidR="00A771C0" w:rsidRPr="00420F5B">
        <w:rPr>
          <w:color w:val="000000" w:themeColor="text1"/>
        </w:rPr>
        <w:t>1</w:t>
      </w:r>
      <w:r w:rsidR="0079418C" w:rsidRPr="00420F5B">
        <w:rPr>
          <w:color w:val="000000" w:themeColor="text1"/>
        </w:rPr>
        <w:t>.</w:t>
      </w:r>
      <w:r w:rsidR="00A771C0" w:rsidRPr="00420F5B">
        <w:rPr>
          <w:color w:val="000000" w:themeColor="text1"/>
        </w:rPr>
        <w:t>20</w:t>
      </w:r>
      <w:r w:rsidRPr="00420F5B">
        <w:rPr>
          <w:color w:val="000000" w:themeColor="text1"/>
        </w:rPr>
        <w:t xml:space="preserve"> as </w:t>
      </w:r>
      <w:r w:rsidRPr="00420F5B">
        <w:t>far as possible.</w:t>
      </w:r>
    </w:p>
    <w:p w14:paraId="44BC7DD0" w14:textId="77777777" w:rsidR="00721CCF" w:rsidRPr="00420F5B" w:rsidRDefault="00721CCF" w:rsidP="0049604D">
      <w:pPr>
        <w:pStyle w:val="ListNumber"/>
        <w:numPr>
          <w:ilvl w:val="0"/>
          <w:numId w:val="0"/>
        </w:numPr>
        <w:ind w:left="567"/>
      </w:pPr>
    </w:p>
    <w:p w14:paraId="0E336B68" w14:textId="6682BF4D" w:rsidR="00721CCF" w:rsidRPr="00420F5B" w:rsidRDefault="00721CCF" w:rsidP="0049604D">
      <w:pPr>
        <w:pStyle w:val="ListNumber"/>
      </w:pPr>
      <w:r w:rsidRPr="00420F5B">
        <w:t xml:space="preserve">It is unlikely that conducting an interview with the alleged perpetrator will be possible unless s/he is a </w:t>
      </w:r>
      <w:r w:rsidR="00272CFA" w:rsidRPr="00420F5B">
        <w:t>client</w:t>
      </w:r>
      <w:r w:rsidRPr="00420F5B">
        <w:t xml:space="preserve"> of another RSL whose staff may co-operate when contacted.</w:t>
      </w:r>
    </w:p>
    <w:p w14:paraId="65AC3C43" w14:textId="77777777" w:rsidR="00721CCF" w:rsidRPr="00420F5B" w:rsidRDefault="00721CCF" w:rsidP="0049604D">
      <w:pPr>
        <w:pStyle w:val="ListNumber"/>
        <w:numPr>
          <w:ilvl w:val="0"/>
          <w:numId w:val="0"/>
        </w:numPr>
        <w:ind w:left="567"/>
      </w:pPr>
    </w:p>
    <w:p w14:paraId="1B90BB1F" w14:textId="77777777" w:rsidR="00721CCF" w:rsidRPr="00420F5B" w:rsidRDefault="00721CCF" w:rsidP="0049604D">
      <w:pPr>
        <w:pStyle w:val="ListNumber"/>
      </w:pPr>
      <w:r w:rsidRPr="00420F5B">
        <w:t>If criminal behaviour is demonstrated, contact the police. If the grounds for action are limited, take the case to the local CIAG with a view to keeping the ASB monitored by the widest possible circle of professionals.</w:t>
      </w:r>
    </w:p>
    <w:p w14:paraId="1A675381" w14:textId="77777777" w:rsidR="00721CCF" w:rsidRPr="00420F5B" w:rsidRDefault="00721CCF" w:rsidP="0049604D">
      <w:pPr>
        <w:pStyle w:val="ListNumber"/>
        <w:numPr>
          <w:ilvl w:val="0"/>
          <w:numId w:val="0"/>
        </w:numPr>
        <w:ind w:left="567"/>
      </w:pPr>
    </w:p>
    <w:p w14:paraId="08FB3B08" w14:textId="16F784A4" w:rsidR="00721CCF" w:rsidRPr="00420F5B" w:rsidRDefault="00721CCF" w:rsidP="0049604D">
      <w:pPr>
        <w:pStyle w:val="ListNumber"/>
      </w:pPr>
      <w:r w:rsidRPr="00420F5B">
        <w:t xml:space="preserve">All avenues should be explored with regard to diversionary action being used with the perpetrator. If the perpetrator is a </w:t>
      </w:r>
      <w:r w:rsidR="00272CFA" w:rsidRPr="00420F5B">
        <w:t>client</w:t>
      </w:r>
      <w:r w:rsidRPr="00420F5B">
        <w:t xml:space="preserve"> of another RSL, it is possible that they may use any evidence gathered by Transform staff to apply to a Court for a demoted tenancy or eviction. Such evidence should be supplied within the bounds of any locally relevant ISPs.</w:t>
      </w:r>
    </w:p>
    <w:p w14:paraId="29145A1B" w14:textId="77777777" w:rsidR="00721CCF" w:rsidRPr="00420F5B" w:rsidRDefault="00721CCF" w:rsidP="0049604D">
      <w:pPr>
        <w:pStyle w:val="ListNumber"/>
        <w:numPr>
          <w:ilvl w:val="0"/>
          <w:numId w:val="0"/>
        </w:numPr>
        <w:ind w:left="567"/>
      </w:pPr>
    </w:p>
    <w:p w14:paraId="0CD17A21" w14:textId="25C2DFB8" w:rsidR="00721CCF" w:rsidRPr="00420F5B" w:rsidRDefault="00721CCF" w:rsidP="0049604D">
      <w:pPr>
        <w:pStyle w:val="ListNumber"/>
      </w:pPr>
      <w:r w:rsidRPr="00420F5B">
        <w:t xml:space="preserve">Follow </w:t>
      </w:r>
      <w:r w:rsidRPr="00420F5B">
        <w:rPr>
          <w:color w:val="000000" w:themeColor="text1"/>
        </w:rPr>
        <w:t xml:space="preserve">steps </w:t>
      </w:r>
      <w:r w:rsidR="00A771C0" w:rsidRPr="00420F5B">
        <w:rPr>
          <w:color w:val="000000" w:themeColor="text1"/>
        </w:rPr>
        <w:t>1.36</w:t>
      </w:r>
      <w:r w:rsidR="0079418C" w:rsidRPr="00420F5B">
        <w:rPr>
          <w:color w:val="000000" w:themeColor="text1"/>
        </w:rPr>
        <w:t xml:space="preserve"> a) – d) </w:t>
      </w:r>
      <w:r w:rsidRPr="00420F5B">
        <w:rPr>
          <w:color w:val="000000" w:themeColor="text1"/>
        </w:rPr>
        <w:t>above.</w:t>
      </w:r>
    </w:p>
    <w:sectPr w:rsidR="00721CCF" w:rsidRPr="00420F5B" w:rsidSect="0049604D">
      <w:pgSz w:w="11900" w:h="16840" w:code="9"/>
      <w:pgMar w:top="851" w:right="843" w:bottom="851" w:left="851" w:header="709" w:footer="3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7D7A" w14:textId="77777777" w:rsidR="003D3305" w:rsidRDefault="003D3305">
      <w:r>
        <w:separator/>
      </w:r>
    </w:p>
    <w:p w14:paraId="4FDBA229" w14:textId="77777777" w:rsidR="003D3305" w:rsidRDefault="003D3305"/>
    <w:p w14:paraId="37E8EDDD" w14:textId="77777777" w:rsidR="003D3305" w:rsidRDefault="003D3305"/>
  </w:endnote>
  <w:endnote w:type="continuationSeparator" w:id="0">
    <w:p w14:paraId="7D7E29A6" w14:textId="77777777" w:rsidR="003D3305" w:rsidRDefault="003D3305">
      <w:r>
        <w:continuationSeparator/>
      </w:r>
    </w:p>
    <w:p w14:paraId="6C10B086" w14:textId="77777777" w:rsidR="003D3305" w:rsidRDefault="003D3305"/>
    <w:p w14:paraId="5751022F" w14:textId="77777777" w:rsidR="003D3305" w:rsidRDefault="003D3305"/>
  </w:endnote>
  <w:endnote w:type="continuationNotice" w:id="1">
    <w:p w14:paraId="41C63820" w14:textId="77777777" w:rsidR="003D3305" w:rsidRDefault="003D3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0F08" w14:textId="77777777" w:rsidR="003D3305" w:rsidRDefault="003D3305">
      <w:r>
        <w:separator/>
      </w:r>
    </w:p>
    <w:p w14:paraId="4825B060" w14:textId="77777777" w:rsidR="003D3305" w:rsidRDefault="003D3305"/>
    <w:p w14:paraId="68EC2020" w14:textId="77777777" w:rsidR="003D3305" w:rsidRDefault="003D3305"/>
  </w:footnote>
  <w:footnote w:type="continuationSeparator" w:id="0">
    <w:p w14:paraId="259A45EE" w14:textId="77777777" w:rsidR="003D3305" w:rsidRDefault="003D3305">
      <w:r>
        <w:continuationSeparator/>
      </w:r>
    </w:p>
    <w:p w14:paraId="2A79711C" w14:textId="77777777" w:rsidR="003D3305" w:rsidRDefault="003D3305"/>
    <w:p w14:paraId="0FF51B1D" w14:textId="77777777" w:rsidR="003D3305" w:rsidRDefault="003D3305"/>
  </w:footnote>
  <w:footnote w:type="continuationNotice" w:id="1">
    <w:p w14:paraId="18ACFC2C" w14:textId="77777777" w:rsidR="003D3305" w:rsidRDefault="003D3305"/>
  </w:footnote>
  <w:footnote w:id="2">
    <w:p w14:paraId="30930E12" w14:textId="78590473" w:rsidR="002419D3" w:rsidRDefault="002419D3">
      <w:pPr>
        <w:pStyle w:val="FootnoteText"/>
      </w:pPr>
      <w:r>
        <w:rPr>
          <w:rStyle w:val="FootnoteReference"/>
        </w:rPr>
        <w:footnoteRef/>
      </w:r>
      <w:r>
        <w:t xml:space="preserve"> </w:t>
      </w:r>
      <w:hyperlink r:id="rId1" w:history="1">
        <w:r w:rsidRPr="001B03AD">
          <w:rPr>
            <w:rStyle w:val="Hyperlink"/>
            <w:sz w:val="16"/>
            <w:szCs w:val="16"/>
          </w:rPr>
          <w:t>https://assets.publishing.service.gov.uk/government/uploads/system/uploads/attachment_data/file/956143/ASB_Statutory_Guidance.pdf</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kEVk4Hln" int2:invalidationBookmarkName="" int2:hashCode="f1/HnaPcgf+80u" int2:id="9k4W8N60">
      <int2:state int2:value="Rejected" int2:type="LegacyProofing"/>
    </int2:bookmark>
    <int2:bookmark int2:bookmarkName="_Int_k25oLC85" int2:invalidationBookmarkName="" int2:hashCode="0GYf/LRGEYcRtn" int2:id="MCVHe/yU">
      <int2:state int2:value="Rejected" int2:type="LegacyProofing"/>
    </int2:bookmark>
    <int2:bookmark int2:bookmarkName="_Int_L04AcF/p" int2:invalidationBookmarkName="" int2:hashCode="UowmHdTo6Ow3X2" int2:id="m1WLG09p">
      <int2:state int2:value="Rejected" int2:type="LegacyProofing"/>
    </int2:bookmark>
    <int2:bookmark int2:bookmarkName="_Int_+YvcfZYW" int2:invalidationBookmarkName="" int2:hashCode="0GYf/LRGEYcRtn" int2:id="+6lD2Id7">
      <int2:state int2:value="Rejected" int2:type="LegacyProofing"/>
    </int2:bookmark>
    <int2:bookmark int2:bookmarkName="_Int_uH8lBY1B" int2:invalidationBookmarkName="" int2:hashCode="0GYf/LRGEYcRtn" int2:id="400+t3cn">
      <int2:state int2:value="Rejected" int2:type="LegacyProofing"/>
    </int2:bookmark>
    <int2:bookmark int2:bookmarkName="_Int_SWO/iLrm" int2:invalidationBookmarkName="" int2:hashCode="3qUbsTpEZ8UF7m" int2:id="nrIkYxWW">
      <int2:state int2:value="Rejected" int2:type="LegacyProofing"/>
    </int2:bookmark>
    <int2:bookmark int2:bookmarkName="_Int_VraxU43j" int2:invalidationBookmarkName="" int2:hashCode="0lXQ0GySJQ8tJA" int2:id="SvsIU7wf">
      <int2:state int2:value="Rejected" int2:type="LegacyProofing"/>
    </int2:bookmark>
    <int2:bookmark int2:bookmarkName="_Int_tuaTV5Ne" int2:invalidationBookmarkName="" int2:hashCode="U719mS7X7fmicQ" int2:id="hiqEjvPU">
      <int2:state int2:value="Rejected" int2:type="LegacyProofing"/>
    </int2:bookmark>
    <int2:bookmark int2:bookmarkName="_Int_M0JOtnsv" int2:invalidationBookmarkName="" int2:hashCode="cD9f/6SDCNYPVC" int2:id="qLgdQxOr">
      <int2:state int2:value="Rejected" int2:type="LegacyProofing"/>
    </int2:bookmark>
    <int2:bookmark int2:bookmarkName="_Int_MjhGYc82" int2:invalidationBookmarkName="" int2:hashCode="1mTc3KGcqNm0Rm" int2:id="pIdiZctN">
      <int2:state int2:value="Rejected" int2:type="LegacyProofing"/>
    </int2:bookmark>
    <int2:bookmark int2:bookmarkName="_Int_+VeQDczo" int2:invalidationBookmarkName="" int2:hashCode="xk60T4xoRDjdvJ" int2:id="gmxMRSq/">
      <int2:state int2:value="Rejected" int2:type="LegacyProofing"/>
    </int2:bookmark>
    <int2:bookmark int2:bookmarkName="_Int_iVLuUyKY" int2:invalidationBookmarkName="" int2:hashCode="liokwzJAIy7O3H" int2:id="ZCfUQ5zI">
      <int2:state int2:value="Rejected" int2:type="LegacyProofing"/>
    </int2:bookmark>
    <int2:bookmark int2:bookmarkName="_Int_Qon0bUtp" int2:invalidationBookmarkName="" int2:hashCode="t0uoFQxBCzrfkt" int2:id="Q+PNJY5Z">
      <int2:state int2:value="Rejected" int2:type="LegacyProofing"/>
    </int2:bookmark>
    <int2:bookmark int2:bookmarkName="_Int_+smgnsWe" int2:invalidationBookmarkName="" int2:hashCode="RseryQl1utfRNJ" int2:id="zSeF3+CP">
      <int2:state int2:value="Rejected" int2:type="LegacyProofing"/>
    </int2:bookmark>
    <int2:bookmark int2:bookmarkName="_Int_hOWhdbwj" int2:invalidationBookmarkName="" int2:hashCode="gekgnmS906UvoB" int2:id="sa/pxaYH">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28254DC"/>
    <w:lvl w:ilvl="0">
      <w:start w:val="1"/>
      <w:numFmt w:val="bullet"/>
      <w:pStyle w:val="ListBullet5"/>
      <w:lvlText w:val=""/>
      <w:lvlJc w:val="left"/>
      <w:pPr>
        <w:ind w:left="1492" w:hanging="360"/>
      </w:pPr>
      <w:rPr>
        <w:rFonts w:ascii="Wingdings" w:hAnsi="Wingdings" w:hint="default"/>
      </w:rPr>
    </w:lvl>
  </w:abstractNum>
  <w:abstractNum w:abstractNumId="1" w15:restartNumberingAfterBreak="0">
    <w:nsid w:val="FFFFFF81"/>
    <w:multiLevelType w:val="singleLevel"/>
    <w:tmpl w:val="C0CE1B04"/>
    <w:lvl w:ilvl="0">
      <w:start w:val="1"/>
      <w:numFmt w:val="bullet"/>
      <w:pStyle w:val="ListBullet4"/>
      <w:lvlText w:val=""/>
      <w:lvlJc w:val="left"/>
      <w:pPr>
        <w:ind w:left="1209" w:hanging="360"/>
      </w:pPr>
      <w:rPr>
        <w:rFonts w:ascii="Wingdings" w:hAnsi="Wingdings" w:hint="default"/>
      </w:rPr>
    </w:lvl>
  </w:abstractNum>
  <w:abstractNum w:abstractNumId="2" w15:restartNumberingAfterBreak="0">
    <w:nsid w:val="00710B16"/>
    <w:multiLevelType w:val="hybridMultilevel"/>
    <w:tmpl w:val="4F02633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25D5508"/>
    <w:multiLevelType w:val="hybridMultilevel"/>
    <w:tmpl w:val="BE4E40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DB5FA8"/>
    <w:multiLevelType w:val="multilevel"/>
    <w:tmpl w:val="57B4EAEC"/>
    <w:lvl w:ilvl="0">
      <w:start w:val="1"/>
      <w:numFmt w:val="decimal"/>
      <w:pStyle w:val="Simplenumbering"/>
      <w:lvlText w:val="%1."/>
      <w:lvlJc w:val="left"/>
      <w:pPr>
        <w:ind w:left="567" w:hanging="567"/>
      </w:pPr>
      <w:rPr>
        <w:rFonts w:hint="default"/>
        <w:b w:val="0"/>
        <w:i w:val="0"/>
      </w:rPr>
    </w:lvl>
    <w:lvl w:ilvl="1">
      <w:start w:val="1"/>
      <w:numFmt w:val="decimal"/>
      <w:pStyle w:val="Simplenumbering"/>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 w15:restartNumberingAfterBreak="0">
    <w:nsid w:val="096339E6"/>
    <w:multiLevelType w:val="hybridMultilevel"/>
    <w:tmpl w:val="EB2EF8B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5D54E0"/>
    <w:multiLevelType w:val="hybridMultilevel"/>
    <w:tmpl w:val="D1B0DB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658"/>
    <w:multiLevelType w:val="hybridMultilevel"/>
    <w:tmpl w:val="F18086A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8F50451"/>
    <w:multiLevelType w:val="multilevel"/>
    <w:tmpl w:val="AA4CAE1C"/>
    <w:lvl w:ilvl="0">
      <w:start w:val="1"/>
      <w:numFmt w:val="bullet"/>
      <w:lvlText w:val=""/>
      <w:lvlJc w:val="left"/>
      <w:pPr>
        <w:ind w:left="1080" w:hanging="360"/>
      </w:pPr>
      <w:rPr>
        <w:rFonts w:ascii="Wingdings" w:hAnsi="Wingdings" w:hint="default"/>
      </w:rPr>
    </w:lvl>
    <w:lvl w:ilvl="1">
      <w:start w:val="1"/>
      <w:numFmt w:val="lowerLetter"/>
      <w:lvlText w:val="%2."/>
      <w:lvlJc w:val="left"/>
      <w:pPr>
        <w:tabs>
          <w:tab w:val="num" w:pos="2613"/>
        </w:tabs>
        <w:ind w:left="2613" w:hanging="360"/>
      </w:pPr>
    </w:lvl>
    <w:lvl w:ilvl="2">
      <w:start w:val="1"/>
      <w:numFmt w:val="lowerRoman"/>
      <w:lvlText w:val="%3."/>
      <w:lvlJc w:val="right"/>
      <w:pPr>
        <w:tabs>
          <w:tab w:val="num" w:pos="3333"/>
        </w:tabs>
        <w:ind w:left="3333" w:hanging="180"/>
      </w:pPr>
    </w:lvl>
    <w:lvl w:ilvl="3">
      <w:start w:val="1"/>
      <w:numFmt w:val="decimal"/>
      <w:lvlText w:val="%4."/>
      <w:lvlJc w:val="left"/>
      <w:pPr>
        <w:tabs>
          <w:tab w:val="num" w:pos="4053"/>
        </w:tabs>
        <w:ind w:left="4053" w:hanging="360"/>
      </w:pPr>
    </w:lvl>
    <w:lvl w:ilvl="4">
      <w:start w:val="1"/>
      <w:numFmt w:val="lowerLetter"/>
      <w:lvlText w:val="%5."/>
      <w:lvlJc w:val="left"/>
      <w:pPr>
        <w:tabs>
          <w:tab w:val="num" w:pos="4773"/>
        </w:tabs>
        <w:ind w:left="4773" w:hanging="360"/>
      </w:pPr>
    </w:lvl>
    <w:lvl w:ilvl="5">
      <w:start w:val="1"/>
      <w:numFmt w:val="lowerRoman"/>
      <w:lvlText w:val="%6."/>
      <w:lvlJc w:val="right"/>
      <w:pPr>
        <w:tabs>
          <w:tab w:val="num" w:pos="5493"/>
        </w:tabs>
        <w:ind w:left="5493" w:hanging="180"/>
      </w:pPr>
    </w:lvl>
    <w:lvl w:ilvl="6">
      <w:start w:val="1"/>
      <w:numFmt w:val="decimal"/>
      <w:lvlText w:val="%7."/>
      <w:lvlJc w:val="left"/>
      <w:pPr>
        <w:tabs>
          <w:tab w:val="num" w:pos="6213"/>
        </w:tabs>
        <w:ind w:left="6213" w:hanging="360"/>
      </w:pPr>
    </w:lvl>
    <w:lvl w:ilvl="7">
      <w:start w:val="1"/>
      <w:numFmt w:val="lowerLetter"/>
      <w:lvlText w:val="%8."/>
      <w:lvlJc w:val="left"/>
      <w:pPr>
        <w:tabs>
          <w:tab w:val="num" w:pos="6933"/>
        </w:tabs>
        <w:ind w:left="6933" w:hanging="360"/>
      </w:pPr>
    </w:lvl>
    <w:lvl w:ilvl="8">
      <w:start w:val="1"/>
      <w:numFmt w:val="lowerRoman"/>
      <w:lvlText w:val="%9."/>
      <w:lvlJc w:val="right"/>
      <w:pPr>
        <w:tabs>
          <w:tab w:val="num" w:pos="7653"/>
        </w:tabs>
        <w:ind w:left="7653" w:hanging="180"/>
      </w:pPr>
    </w:lvl>
  </w:abstractNum>
  <w:abstractNum w:abstractNumId="9" w15:restartNumberingAfterBreak="0">
    <w:nsid w:val="364D6759"/>
    <w:multiLevelType w:val="hybridMultilevel"/>
    <w:tmpl w:val="30D0287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878EC"/>
    <w:multiLevelType w:val="multilevel"/>
    <w:tmpl w:val="AA4CAE1C"/>
    <w:lvl w:ilvl="0">
      <w:start w:val="1"/>
      <w:numFmt w:val="bullet"/>
      <w:lvlText w:val=""/>
      <w:lvlJc w:val="left"/>
      <w:pPr>
        <w:ind w:left="1080" w:hanging="360"/>
      </w:pPr>
      <w:rPr>
        <w:rFonts w:ascii="Wingdings" w:hAnsi="Wingdings" w:hint="default"/>
      </w:rPr>
    </w:lvl>
    <w:lvl w:ilvl="1">
      <w:start w:val="1"/>
      <w:numFmt w:val="lowerLetter"/>
      <w:lvlText w:val="%2."/>
      <w:lvlJc w:val="left"/>
      <w:pPr>
        <w:tabs>
          <w:tab w:val="num" w:pos="2613"/>
        </w:tabs>
        <w:ind w:left="2613" w:hanging="360"/>
      </w:pPr>
    </w:lvl>
    <w:lvl w:ilvl="2">
      <w:start w:val="1"/>
      <w:numFmt w:val="lowerRoman"/>
      <w:lvlText w:val="%3."/>
      <w:lvlJc w:val="right"/>
      <w:pPr>
        <w:tabs>
          <w:tab w:val="num" w:pos="3333"/>
        </w:tabs>
        <w:ind w:left="3333" w:hanging="180"/>
      </w:pPr>
    </w:lvl>
    <w:lvl w:ilvl="3">
      <w:start w:val="1"/>
      <w:numFmt w:val="decimal"/>
      <w:lvlText w:val="%4."/>
      <w:lvlJc w:val="left"/>
      <w:pPr>
        <w:tabs>
          <w:tab w:val="num" w:pos="4053"/>
        </w:tabs>
        <w:ind w:left="4053" w:hanging="360"/>
      </w:pPr>
    </w:lvl>
    <w:lvl w:ilvl="4">
      <w:start w:val="1"/>
      <w:numFmt w:val="lowerLetter"/>
      <w:lvlText w:val="%5."/>
      <w:lvlJc w:val="left"/>
      <w:pPr>
        <w:tabs>
          <w:tab w:val="num" w:pos="4773"/>
        </w:tabs>
        <w:ind w:left="4773" w:hanging="360"/>
      </w:pPr>
    </w:lvl>
    <w:lvl w:ilvl="5">
      <w:start w:val="1"/>
      <w:numFmt w:val="lowerRoman"/>
      <w:lvlText w:val="%6."/>
      <w:lvlJc w:val="right"/>
      <w:pPr>
        <w:tabs>
          <w:tab w:val="num" w:pos="5493"/>
        </w:tabs>
        <w:ind w:left="5493" w:hanging="180"/>
      </w:pPr>
    </w:lvl>
    <w:lvl w:ilvl="6">
      <w:start w:val="1"/>
      <w:numFmt w:val="decimal"/>
      <w:lvlText w:val="%7."/>
      <w:lvlJc w:val="left"/>
      <w:pPr>
        <w:tabs>
          <w:tab w:val="num" w:pos="6213"/>
        </w:tabs>
        <w:ind w:left="6213" w:hanging="360"/>
      </w:pPr>
    </w:lvl>
    <w:lvl w:ilvl="7">
      <w:start w:val="1"/>
      <w:numFmt w:val="lowerLetter"/>
      <w:lvlText w:val="%8."/>
      <w:lvlJc w:val="left"/>
      <w:pPr>
        <w:tabs>
          <w:tab w:val="num" w:pos="6933"/>
        </w:tabs>
        <w:ind w:left="6933" w:hanging="360"/>
      </w:pPr>
    </w:lvl>
    <w:lvl w:ilvl="8">
      <w:start w:val="1"/>
      <w:numFmt w:val="lowerRoman"/>
      <w:lvlText w:val="%9."/>
      <w:lvlJc w:val="right"/>
      <w:pPr>
        <w:tabs>
          <w:tab w:val="num" w:pos="7653"/>
        </w:tabs>
        <w:ind w:left="7653" w:hanging="180"/>
      </w:pPr>
    </w:lvl>
  </w:abstractNum>
  <w:abstractNum w:abstractNumId="11" w15:restartNumberingAfterBreak="0">
    <w:nsid w:val="398E3AB8"/>
    <w:multiLevelType w:val="multilevel"/>
    <w:tmpl w:val="AA4CAE1C"/>
    <w:lvl w:ilvl="0">
      <w:start w:val="1"/>
      <w:numFmt w:val="bullet"/>
      <w:lvlText w:val=""/>
      <w:lvlJc w:val="left"/>
      <w:pPr>
        <w:ind w:left="1080" w:hanging="360"/>
      </w:pPr>
      <w:rPr>
        <w:rFonts w:ascii="Wingdings" w:hAnsi="Wingdings" w:hint="default"/>
      </w:rPr>
    </w:lvl>
    <w:lvl w:ilvl="1">
      <w:start w:val="1"/>
      <w:numFmt w:val="lowerLetter"/>
      <w:lvlText w:val="%2."/>
      <w:lvlJc w:val="left"/>
      <w:pPr>
        <w:tabs>
          <w:tab w:val="num" w:pos="2613"/>
        </w:tabs>
        <w:ind w:left="2613" w:hanging="360"/>
      </w:pPr>
    </w:lvl>
    <w:lvl w:ilvl="2">
      <w:start w:val="1"/>
      <w:numFmt w:val="lowerRoman"/>
      <w:lvlText w:val="%3."/>
      <w:lvlJc w:val="right"/>
      <w:pPr>
        <w:tabs>
          <w:tab w:val="num" w:pos="3333"/>
        </w:tabs>
        <w:ind w:left="3333" w:hanging="180"/>
      </w:pPr>
    </w:lvl>
    <w:lvl w:ilvl="3">
      <w:start w:val="1"/>
      <w:numFmt w:val="decimal"/>
      <w:lvlText w:val="%4."/>
      <w:lvlJc w:val="left"/>
      <w:pPr>
        <w:tabs>
          <w:tab w:val="num" w:pos="4053"/>
        </w:tabs>
        <w:ind w:left="4053" w:hanging="360"/>
      </w:pPr>
    </w:lvl>
    <w:lvl w:ilvl="4">
      <w:start w:val="1"/>
      <w:numFmt w:val="lowerLetter"/>
      <w:lvlText w:val="%5."/>
      <w:lvlJc w:val="left"/>
      <w:pPr>
        <w:tabs>
          <w:tab w:val="num" w:pos="4773"/>
        </w:tabs>
        <w:ind w:left="4773" w:hanging="360"/>
      </w:pPr>
    </w:lvl>
    <w:lvl w:ilvl="5">
      <w:start w:val="1"/>
      <w:numFmt w:val="lowerRoman"/>
      <w:lvlText w:val="%6."/>
      <w:lvlJc w:val="right"/>
      <w:pPr>
        <w:tabs>
          <w:tab w:val="num" w:pos="5493"/>
        </w:tabs>
        <w:ind w:left="5493" w:hanging="180"/>
      </w:pPr>
    </w:lvl>
    <w:lvl w:ilvl="6">
      <w:start w:val="1"/>
      <w:numFmt w:val="decimal"/>
      <w:lvlText w:val="%7."/>
      <w:lvlJc w:val="left"/>
      <w:pPr>
        <w:tabs>
          <w:tab w:val="num" w:pos="6213"/>
        </w:tabs>
        <w:ind w:left="6213" w:hanging="360"/>
      </w:pPr>
    </w:lvl>
    <w:lvl w:ilvl="7">
      <w:start w:val="1"/>
      <w:numFmt w:val="lowerLetter"/>
      <w:lvlText w:val="%8."/>
      <w:lvlJc w:val="left"/>
      <w:pPr>
        <w:tabs>
          <w:tab w:val="num" w:pos="6933"/>
        </w:tabs>
        <w:ind w:left="6933" w:hanging="360"/>
      </w:pPr>
    </w:lvl>
    <w:lvl w:ilvl="8">
      <w:start w:val="1"/>
      <w:numFmt w:val="lowerRoman"/>
      <w:lvlText w:val="%9."/>
      <w:lvlJc w:val="right"/>
      <w:pPr>
        <w:tabs>
          <w:tab w:val="num" w:pos="7653"/>
        </w:tabs>
        <w:ind w:left="7653" w:hanging="180"/>
      </w:pPr>
    </w:lvl>
  </w:abstractNum>
  <w:abstractNum w:abstractNumId="12" w15:restartNumberingAfterBreak="0">
    <w:nsid w:val="41A63344"/>
    <w:multiLevelType w:val="hybridMultilevel"/>
    <w:tmpl w:val="DFE856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06023"/>
    <w:multiLevelType w:val="hybridMultilevel"/>
    <w:tmpl w:val="F3E8BF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8801FF"/>
    <w:multiLevelType w:val="hybridMultilevel"/>
    <w:tmpl w:val="9BF6AF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934ACA"/>
    <w:multiLevelType w:val="hybridMultilevel"/>
    <w:tmpl w:val="153639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937D7B"/>
    <w:multiLevelType w:val="multilevel"/>
    <w:tmpl w:val="AA4CAE1C"/>
    <w:lvl w:ilvl="0">
      <w:start w:val="1"/>
      <w:numFmt w:val="bullet"/>
      <w:lvlText w:val=""/>
      <w:lvlJc w:val="left"/>
      <w:pPr>
        <w:ind w:left="1080" w:hanging="360"/>
      </w:pPr>
      <w:rPr>
        <w:rFonts w:ascii="Wingdings" w:hAnsi="Wingdings" w:hint="default"/>
      </w:rPr>
    </w:lvl>
    <w:lvl w:ilvl="1">
      <w:start w:val="1"/>
      <w:numFmt w:val="lowerLetter"/>
      <w:lvlText w:val="%2."/>
      <w:lvlJc w:val="left"/>
      <w:pPr>
        <w:tabs>
          <w:tab w:val="num" w:pos="2613"/>
        </w:tabs>
        <w:ind w:left="2613" w:hanging="360"/>
      </w:pPr>
    </w:lvl>
    <w:lvl w:ilvl="2">
      <w:start w:val="1"/>
      <w:numFmt w:val="lowerRoman"/>
      <w:lvlText w:val="%3."/>
      <w:lvlJc w:val="right"/>
      <w:pPr>
        <w:tabs>
          <w:tab w:val="num" w:pos="3333"/>
        </w:tabs>
        <w:ind w:left="3333" w:hanging="180"/>
      </w:pPr>
    </w:lvl>
    <w:lvl w:ilvl="3">
      <w:start w:val="1"/>
      <w:numFmt w:val="decimal"/>
      <w:lvlText w:val="%4."/>
      <w:lvlJc w:val="left"/>
      <w:pPr>
        <w:tabs>
          <w:tab w:val="num" w:pos="4053"/>
        </w:tabs>
        <w:ind w:left="4053" w:hanging="360"/>
      </w:pPr>
    </w:lvl>
    <w:lvl w:ilvl="4">
      <w:start w:val="1"/>
      <w:numFmt w:val="lowerLetter"/>
      <w:lvlText w:val="%5."/>
      <w:lvlJc w:val="left"/>
      <w:pPr>
        <w:tabs>
          <w:tab w:val="num" w:pos="4773"/>
        </w:tabs>
        <w:ind w:left="4773" w:hanging="360"/>
      </w:pPr>
    </w:lvl>
    <w:lvl w:ilvl="5">
      <w:start w:val="1"/>
      <w:numFmt w:val="lowerRoman"/>
      <w:lvlText w:val="%6."/>
      <w:lvlJc w:val="right"/>
      <w:pPr>
        <w:tabs>
          <w:tab w:val="num" w:pos="5493"/>
        </w:tabs>
        <w:ind w:left="5493" w:hanging="180"/>
      </w:pPr>
    </w:lvl>
    <w:lvl w:ilvl="6">
      <w:start w:val="1"/>
      <w:numFmt w:val="decimal"/>
      <w:lvlText w:val="%7."/>
      <w:lvlJc w:val="left"/>
      <w:pPr>
        <w:tabs>
          <w:tab w:val="num" w:pos="6213"/>
        </w:tabs>
        <w:ind w:left="6213" w:hanging="360"/>
      </w:pPr>
    </w:lvl>
    <w:lvl w:ilvl="7">
      <w:start w:val="1"/>
      <w:numFmt w:val="lowerLetter"/>
      <w:lvlText w:val="%8."/>
      <w:lvlJc w:val="left"/>
      <w:pPr>
        <w:tabs>
          <w:tab w:val="num" w:pos="6933"/>
        </w:tabs>
        <w:ind w:left="6933" w:hanging="360"/>
      </w:pPr>
    </w:lvl>
    <w:lvl w:ilvl="8">
      <w:start w:val="1"/>
      <w:numFmt w:val="lowerRoman"/>
      <w:lvlText w:val="%9."/>
      <w:lvlJc w:val="right"/>
      <w:pPr>
        <w:tabs>
          <w:tab w:val="num" w:pos="7653"/>
        </w:tabs>
        <w:ind w:left="7653" w:hanging="180"/>
      </w:pPr>
    </w:lvl>
  </w:abstractNum>
  <w:abstractNum w:abstractNumId="17" w15:restartNumberingAfterBreak="0">
    <w:nsid w:val="5D3A3EB6"/>
    <w:multiLevelType w:val="hybridMultilevel"/>
    <w:tmpl w:val="0A4C677C"/>
    <w:lvl w:ilvl="0" w:tplc="CDF0E5C8">
      <w:start w:val="1"/>
      <w:numFmt w:val="bullet"/>
      <w:pStyle w:val="ListBullet"/>
      <w:lvlText w:val=""/>
      <w:lvlJc w:val="left"/>
      <w:pPr>
        <w:ind w:left="2955" w:hanging="360"/>
      </w:pPr>
      <w:rPr>
        <w:rFonts w:ascii="Wingdings" w:hAnsi="Wingdings" w:hint="default"/>
      </w:rPr>
    </w:lvl>
    <w:lvl w:ilvl="1" w:tplc="08090003">
      <w:start w:val="1"/>
      <w:numFmt w:val="bullet"/>
      <w:pStyle w:val="ListBullet2"/>
      <w:lvlText w:val="o"/>
      <w:lvlJc w:val="left"/>
      <w:pPr>
        <w:ind w:left="3675" w:hanging="360"/>
      </w:pPr>
      <w:rPr>
        <w:rFonts w:ascii="Courier New" w:hAnsi="Courier New" w:cs="Courier New" w:hint="default"/>
      </w:rPr>
    </w:lvl>
    <w:lvl w:ilvl="2" w:tplc="82D2191E">
      <w:start w:val="1"/>
      <w:numFmt w:val="bullet"/>
      <w:pStyle w:val="ListBullet3"/>
      <w:lvlText w:val=""/>
      <w:lvlJc w:val="left"/>
      <w:pPr>
        <w:ind w:left="4395" w:hanging="360"/>
      </w:pPr>
      <w:rPr>
        <w:rFonts w:ascii="Symbol" w:hAnsi="Symbol" w:hint="default"/>
        <w:sz w:val="18"/>
      </w:rPr>
    </w:lvl>
    <w:lvl w:ilvl="3" w:tplc="08090001" w:tentative="1">
      <w:start w:val="1"/>
      <w:numFmt w:val="bullet"/>
      <w:lvlText w:val=""/>
      <w:lvlJc w:val="left"/>
      <w:pPr>
        <w:ind w:left="5115" w:hanging="360"/>
      </w:pPr>
      <w:rPr>
        <w:rFonts w:ascii="Symbol" w:hAnsi="Symbol" w:hint="default"/>
      </w:rPr>
    </w:lvl>
    <w:lvl w:ilvl="4" w:tplc="08090003" w:tentative="1">
      <w:start w:val="1"/>
      <w:numFmt w:val="bullet"/>
      <w:lvlText w:val="o"/>
      <w:lvlJc w:val="left"/>
      <w:pPr>
        <w:ind w:left="5835" w:hanging="360"/>
      </w:pPr>
      <w:rPr>
        <w:rFonts w:ascii="Courier New" w:hAnsi="Courier New" w:cs="Courier New" w:hint="default"/>
      </w:rPr>
    </w:lvl>
    <w:lvl w:ilvl="5" w:tplc="08090005" w:tentative="1">
      <w:start w:val="1"/>
      <w:numFmt w:val="bullet"/>
      <w:lvlText w:val=""/>
      <w:lvlJc w:val="left"/>
      <w:pPr>
        <w:ind w:left="6555" w:hanging="360"/>
      </w:pPr>
      <w:rPr>
        <w:rFonts w:ascii="Wingdings" w:hAnsi="Wingdings" w:hint="default"/>
      </w:rPr>
    </w:lvl>
    <w:lvl w:ilvl="6" w:tplc="08090001" w:tentative="1">
      <w:start w:val="1"/>
      <w:numFmt w:val="bullet"/>
      <w:lvlText w:val=""/>
      <w:lvlJc w:val="left"/>
      <w:pPr>
        <w:ind w:left="7275" w:hanging="360"/>
      </w:pPr>
      <w:rPr>
        <w:rFonts w:ascii="Symbol" w:hAnsi="Symbol" w:hint="default"/>
      </w:rPr>
    </w:lvl>
    <w:lvl w:ilvl="7" w:tplc="08090003" w:tentative="1">
      <w:start w:val="1"/>
      <w:numFmt w:val="bullet"/>
      <w:lvlText w:val="o"/>
      <w:lvlJc w:val="left"/>
      <w:pPr>
        <w:ind w:left="7995" w:hanging="360"/>
      </w:pPr>
      <w:rPr>
        <w:rFonts w:ascii="Courier New" w:hAnsi="Courier New" w:cs="Courier New" w:hint="default"/>
      </w:rPr>
    </w:lvl>
    <w:lvl w:ilvl="8" w:tplc="08090005" w:tentative="1">
      <w:start w:val="1"/>
      <w:numFmt w:val="bullet"/>
      <w:lvlText w:val=""/>
      <w:lvlJc w:val="left"/>
      <w:pPr>
        <w:ind w:left="8715" w:hanging="360"/>
      </w:pPr>
      <w:rPr>
        <w:rFonts w:ascii="Wingdings" w:hAnsi="Wingdings" w:hint="default"/>
      </w:rPr>
    </w:lvl>
  </w:abstractNum>
  <w:abstractNum w:abstractNumId="18" w15:restartNumberingAfterBreak="0">
    <w:nsid w:val="5DDC0FB1"/>
    <w:multiLevelType w:val="hybridMultilevel"/>
    <w:tmpl w:val="72E41CF2"/>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18370DE"/>
    <w:multiLevelType w:val="multilevel"/>
    <w:tmpl w:val="C7CC8BBA"/>
    <w:lvl w:ilvl="0">
      <w:start w:val="1"/>
      <w:numFmt w:val="decimal"/>
      <w:pStyle w:val="Heading3"/>
      <w:lvlText w:val="%1."/>
      <w:lvlJc w:val="left"/>
      <w:pPr>
        <w:ind w:left="567" w:hanging="567"/>
      </w:pPr>
      <w:rPr>
        <w:rFonts w:hint="default"/>
        <w:b/>
        <w:i w:val="0"/>
      </w:rPr>
    </w:lvl>
    <w:lvl w:ilvl="1">
      <w:start w:val="1"/>
      <w:numFmt w:val="decimal"/>
      <w:pStyle w:val="ListNumber"/>
      <w:lvlText w:val="%1.%2."/>
      <w:lvlJc w:val="left"/>
      <w:pPr>
        <w:ind w:left="567" w:hanging="567"/>
      </w:pPr>
      <w:rPr>
        <w:rFonts w:hint="default"/>
        <w:color w:val="000000" w:themeColor="text1"/>
      </w:rPr>
    </w:lvl>
    <w:lvl w:ilvl="2">
      <w:numFmt w:val="bullet"/>
      <w:pStyle w:val="ListNumber3"/>
      <w:lvlText w:val="-"/>
      <w:lvlJc w:val="left"/>
      <w:pPr>
        <w:ind w:left="927" w:hanging="360"/>
      </w:pPr>
      <w:rPr>
        <w:rFonts w:ascii="Calibri" w:eastAsiaTheme="minorHAnsi" w:hAnsi="Calibri" w:cstheme="minorBidi" w:hint="default"/>
      </w:rPr>
    </w:lvl>
    <w:lvl w:ilvl="3">
      <w:start w:val="1"/>
      <w:numFmt w:val="lowerLetter"/>
      <w:pStyle w:val="ListNumber2"/>
      <w:lvlText w:val="%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749B2BB8"/>
    <w:multiLevelType w:val="hybridMultilevel"/>
    <w:tmpl w:val="B510CD8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4E134AE"/>
    <w:multiLevelType w:val="multilevel"/>
    <w:tmpl w:val="1284C470"/>
    <w:styleLink w:val="Style2"/>
    <w:lvl w:ilvl="0">
      <w:start w:val="1"/>
      <w:numFmt w:val="decimal"/>
      <w:lvlText w:val="%1."/>
      <w:lvlJc w:val="left"/>
      <w:pPr>
        <w:ind w:left="567" w:hanging="567"/>
      </w:pPr>
      <w:rPr>
        <w:rFonts w:hint="default"/>
        <w:b/>
        <w:i w: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2" w15:restartNumberingAfterBreak="0">
    <w:nsid w:val="78133C3F"/>
    <w:multiLevelType w:val="hybridMultilevel"/>
    <w:tmpl w:val="D6E24F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C035F58"/>
    <w:multiLevelType w:val="multilevel"/>
    <w:tmpl w:val="1E064D20"/>
    <w:styleLink w:val="Style1"/>
    <w:lvl w:ilvl="0">
      <w:start w:val="1"/>
      <w:numFmt w:val="decimal"/>
      <w:lvlText w:val="%1."/>
      <w:lvlJc w:val="left"/>
      <w:pPr>
        <w:ind w:left="1287" w:hanging="567"/>
      </w:pPr>
      <w:rPr>
        <w:rFonts w:ascii="Arial" w:hAnsi="Arial" w:hint="default"/>
        <w:b/>
        <w:sz w:val="24"/>
      </w:rPr>
    </w:lvl>
    <w:lvl w:ilvl="1">
      <w:start w:val="1"/>
      <w:numFmt w:val="decimal"/>
      <w:lvlText w:val="%2."/>
      <w:lvlJc w:val="left"/>
      <w:pPr>
        <w:ind w:left="567" w:hanging="567"/>
      </w:pPr>
      <w:rPr>
        <w:rFonts w:ascii="Arial" w:hAnsi="Arial" w:hint="default"/>
        <w:sz w:val="24"/>
      </w:rPr>
    </w:lvl>
    <w:lvl w:ilvl="2">
      <w:start w:val="1"/>
      <w:numFmt w:val="lowerRoman"/>
      <w:lvlText w:val="%3)"/>
      <w:lvlJc w:val="left"/>
      <w:pPr>
        <w:ind w:left="1593" w:hanging="360"/>
      </w:pPr>
      <w:rPr>
        <w:rFonts w:hint="default"/>
      </w:rPr>
    </w:lvl>
    <w:lvl w:ilvl="3">
      <w:start w:val="1"/>
      <w:numFmt w:val="decimal"/>
      <w:lvlText w:val="(%4)"/>
      <w:lvlJc w:val="left"/>
      <w:pPr>
        <w:ind w:left="1953" w:hanging="360"/>
      </w:pPr>
      <w:rPr>
        <w:rFonts w:hint="default"/>
      </w:rPr>
    </w:lvl>
    <w:lvl w:ilvl="4">
      <w:start w:val="1"/>
      <w:numFmt w:val="lowerLetter"/>
      <w:lvlText w:val="(%5)"/>
      <w:lvlJc w:val="left"/>
      <w:pPr>
        <w:ind w:left="2313" w:hanging="360"/>
      </w:pPr>
      <w:rPr>
        <w:rFonts w:hint="default"/>
      </w:rPr>
    </w:lvl>
    <w:lvl w:ilvl="5">
      <w:start w:val="1"/>
      <w:numFmt w:val="lowerRoman"/>
      <w:lvlText w:val="(%6)"/>
      <w:lvlJc w:val="left"/>
      <w:pPr>
        <w:ind w:left="2673" w:hanging="360"/>
      </w:pPr>
      <w:rPr>
        <w:rFonts w:hint="default"/>
      </w:rPr>
    </w:lvl>
    <w:lvl w:ilvl="6">
      <w:start w:val="1"/>
      <w:numFmt w:val="decimal"/>
      <w:lvlText w:val="%7."/>
      <w:lvlJc w:val="left"/>
      <w:pPr>
        <w:ind w:left="3033" w:hanging="360"/>
      </w:pPr>
      <w:rPr>
        <w:rFonts w:hint="default"/>
      </w:rPr>
    </w:lvl>
    <w:lvl w:ilvl="7">
      <w:start w:val="1"/>
      <w:numFmt w:val="lowerLetter"/>
      <w:lvlText w:val="%8."/>
      <w:lvlJc w:val="left"/>
      <w:pPr>
        <w:ind w:left="3393" w:hanging="360"/>
      </w:pPr>
      <w:rPr>
        <w:rFonts w:hint="default"/>
      </w:rPr>
    </w:lvl>
    <w:lvl w:ilvl="8">
      <w:start w:val="1"/>
      <w:numFmt w:val="lowerRoman"/>
      <w:lvlText w:val="%9."/>
      <w:lvlJc w:val="left"/>
      <w:pPr>
        <w:ind w:left="3753" w:hanging="360"/>
      </w:pPr>
      <w:rPr>
        <w:rFonts w:hint="default"/>
      </w:rPr>
    </w:lvl>
  </w:abstractNum>
  <w:abstractNum w:abstractNumId="24" w15:restartNumberingAfterBreak="0">
    <w:nsid w:val="7E8C1C6F"/>
    <w:multiLevelType w:val="hybridMultilevel"/>
    <w:tmpl w:val="F64A2D38"/>
    <w:lvl w:ilvl="0" w:tplc="07B05DB8">
      <w:numFmt w:val="bullet"/>
      <w:lvlText w:val="-"/>
      <w:lvlJc w:val="left"/>
      <w:pPr>
        <w:ind w:left="720" w:hanging="360"/>
      </w:pPr>
      <w:rPr>
        <w:rFonts w:ascii="Calibri" w:eastAsiaTheme="minorHAnsi" w:hAnsi="Calibri" w:cstheme="minorBidi" w:hint="default"/>
      </w:rPr>
    </w:lvl>
    <w:lvl w:ilvl="1" w:tplc="04090017">
      <w:start w:val="1"/>
      <w:numFmt w:val="lowerLetter"/>
      <w:lvlText w:val="%2)"/>
      <w:lvlJc w:val="left"/>
      <w:pPr>
        <w:ind w:left="927"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65E55"/>
    <w:multiLevelType w:val="hybridMultilevel"/>
    <w:tmpl w:val="795416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3454995">
    <w:abstractNumId w:val="1"/>
  </w:num>
  <w:num w:numId="2" w16cid:durableId="693459372">
    <w:abstractNumId w:val="0"/>
  </w:num>
  <w:num w:numId="3" w16cid:durableId="1672023465">
    <w:abstractNumId w:val="17"/>
  </w:num>
  <w:num w:numId="4" w16cid:durableId="1791439229">
    <w:abstractNumId w:val="23"/>
  </w:num>
  <w:num w:numId="5" w16cid:durableId="1902903986">
    <w:abstractNumId w:val="19"/>
  </w:num>
  <w:num w:numId="6" w16cid:durableId="1034504544">
    <w:abstractNumId w:val="21"/>
  </w:num>
  <w:num w:numId="7" w16cid:durableId="588077631">
    <w:abstractNumId w:val="4"/>
  </w:num>
  <w:num w:numId="8" w16cid:durableId="444497644">
    <w:abstractNumId w:val="15"/>
  </w:num>
  <w:num w:numId="9" w16cid:durableId="1567112034">
    <w:abstractNumId w:val="6"/>
  </w:num>
  <w:num w:numId="10" w16cid:durableId="1425148541">
    <w:abstractNumId w:val="12"/>
  </w:num>
  <w:num w:numId="11" w16cid:durableId="1349529467">
    <w:abstractNumId w:val="24"/>
  </w:num>
  <w:num w:numId="12" w16cid:durableId="478107914">
    <w:abstractNumId w:val="18"/>
  </w:num>
  <w:num w:numId="13" w16cid:durableId="1537690953">
    <w:abstractNumId w:val="2"/>
  </w:num>
  <w:num w:numId="14" w16cid:durableId="1809934703">
    <w:abstractNumId w:val="7"/>
  </w:num>
  <w:num w:numId="15" w16cid:durableId="1771002075">
    <w:abstractNumId w:val="5"/>
  </w:num>
  <w:num w:numId="16" w16cid:durableId="1115635714">
    <w:abstractNumId w:val="9"/>
  </w:num>
  <w:num w:numId="17" w16cid:durableId="1927613981">
    <w:abstractNumId w:val="22"/>
  </w:num>
  <w:num w:numId="18" w16cid:durableId="350642054">
    <w:abstractNumId w:val="3"/>
  </w:num>
  <w:num w:numId="19" w16cid:durableId="1895921217">
    <w:abstractNumId w:val="13"/>
  </w:num>
  <w:num w:numId="20" w16cid:durableId="1988241131">
    <w:abstractNumId w:val="14"/>
  </w:num>
  <w:num w:numId="21" w16cid:durableId="1559633700">
    <w:abstractNumId w:val="20"/>
  </w:num>
  <w:num w:numId="22" w16cid:durableId="1394084547">
    <w:abstractNumId w:val="25"/>
  </w:num>
  <w:num w:numId="23" w16cid:durableId="1641574096">
    <w:abstractNumId w:val="11"/>
  </w:num>
  <w:num w:numId="24" w16cid:durableId="2143035724">
    <w:abstractNumId w:val="8"/>
  </w:num>
  <w:num w:numId="25" w16cid:durableId="1894735938">
    <w:abstractNumId w:val="16"/>
  </w:num>
  <w:num w:numId="26" w16cid:durableId="1037897519">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A6"/>
    <w:rsid w:val="000244BC"/>
    <w:rsid w:val="00033A49"/>
    <w:rsid w:val="00036F04"/>
    <w:rsid w:val="00066DD5"/>
    <w:rsid w:val="00072EC0"/>
    <w:rsid w:val="0009348D"/>
    <w:rsid w:val="000A7C76"/>
    <w:rsid w:val="000B1207"/>
    <w:rsid w:val="000C7DEE"/>
    <w:rsid w:val="000D15F1"/>
    <w:rsid w:val="000D26F9"/>
    <w:rsid w:val="000F4A57"/>
    <w:rsid w:val="000F5B00"/>
    <w:rsid w:val="00103398"/>
    <w:rsid w:val="0010631B"/>
    <w:rsid w:val="00111FBE"/>
    <w:rsid w:val="00122F05"/>
    <w:rsid w:val="00132197"/>
    <w:rsid w:val="00132632"/>
    <w:rsid w:val="00141146"/>
    <w:rsid w:val="0016052F"/>
    <w:rsid w:val="0018233F"/>
    <w:rsid w:val="00194D1C"/>
    <w:rsid w:val="001B03AD"/>
    <w:rsid w:val="001B511A"/>
    <w:rsid w:val="001C59A5"/>
    <w:rsid w:val="001D51D8"/>
    <w:rsid w:val="001D7479"/>
    <w:rsid w:val="00205C8B"/>
    <w:rsid w:val="00206864"/>
    <w:rsid w:val="002221A1"/>
    <w:rsid w:val="0023738D"/>
    <w:rsid w:val="002419D3"/>
    <w:rsid w:val="00250A3D"/>
    <w:rsid w:val="002652EF"/>
    <w:rsid w:val="00271F66"/>
    <w:rsid w:val="00272CFA"/>
    <w:rsid w:val="0027641F"/>
    <w:rsid w:val="00285088"/>
    <w:rsid w:val="0028526E"/>
    <w:rsid w:val="00286FAB"/>
    <w:rsid w:val="00290808"/>
    <w:rsid w:val="002B58A5"/>
    <w:rsid w:val="002C0D8E"/>
    <w:rsid w:val="002C16DA"/>
    <w:rsid w:val="002C3D21"/>
    <w:rsid w:val="002D7D6C"/>
    <w:rsid w:val="002F2C33"/>
    <w:rsid w:val="003104E5"/>
    <w:rsid w:val="00312656"/>
    <w:rsid w:val="00315245"/>
    <w:rsid w:val="003159A8"/>
    <w:rsid w:val="003176A6"/>
    <w:rsid w:val="00331042"/>
    <w:rsid w:val="0033359A"/>
    <w:rsid w:val="00347165"/>
    <w:rsid w:val="0035246B"/>
    <w:rsid w:val="00362DD7"/>
    <w:rsid w:val="003836CF"/>
    <w:rsid w:val="003B42A7"/>
    <w:rsid w:val="003B63A6"/>
    <w:rsid w:val="003C018A"/>
    <w:rsid w:val="003C4E37"/>
    <w:rsid w:val="003C5B24"/>
    <w:rsid w:val="003D3305"/>
    <w:rsid w:val="003E07B0"/>
    <w:rsid w:val="003F6E51"/>
    <w:rsid w:val="00420F5B"/>
    <w:rsid w:val="00421DFA"/>
    <w:rsid w:val="004232E6"/>
    <w:rsid w:val="00423BE4"/>
    <w:rsid w:val="004352F2"/>
    <w:rsid w:val="00444827"/>
    <w:rsid w:val="00446404"/>
    <w:rsid w:val="0049604D"/>
    <w:rsid w:val="00496C96"/>
    <w:rsid w:val="004A467C"/>
    <w:rsid w:val="004A599B"/>
    <w:rsid w:val="004A7097"/>
    <w:rsid w:val="004A79B7"/>
    <w:rsid w:val="004C43D5"/>
    <w:rsid w:val="004E2E15"/>
    <w:rsid w:val="004F3CF9"/>
    <w:rsid w:val="00503EC4"/>
    <w:rsid w:val="00505720"/>
    <w:rsid w:val="005463B9"/>
    <w:rsid w:val="00552E2B"/>
    <w:rsid w:val="00552EE3"/>
    <w:rsid w:val="00560C76"/>
    <w:rsid w:val="0056395A"/>
    <w:rsid w:val="0056580B"/>
    <w:rsid w:val="0059C567"/>
    <w:rsid w:val="005B4AE0"/>
    <w:rsid w:val="005C00E4"/>
    <w:rsid w:val="005F516C"/>
    <w:rsid w:val="005F6C25"/>
    <w:rsid w:val="006015F4"/>
    <w:rsid w:val="00612D6E"/>
    <w:rsid w:val="00625CDC"/>
    <w:rsid w:val="006278CF"/>
    <w:rsid w:val="00630756"/>
    <w:rsid w:val="0063595A"/>
    <w:rsid w:val="00647BCD"/>
    <w:rsid w:val="006545EA"/>
    <w:rsid w:val="00665982"/>
    <w:rsid w:val="0068002A"/>
    <w:rsid w:val="006B1B3F"/>
    <w:rsid w:val="006C4235"/>
    <w:rsid w:val="006C5A24"/>
    <w:rsid w:val="006E15E8"/>
    <w:rsid w:val="006F3D30"/>
    <w:rsid w:val="00707AF0"/>
    <w:rsid w:val="00712FCF"/>
    <w:rsid w:val="00721CCF"/>
    <w:rsid w:val="0072671B"/>
    <w:rsid w:val="0072734B"/>
    <w:rsid w:val="007378AD"/>
    <w:rsid w:val="00760C9F"/>
    <w:rsid w:val="007663D5"/>
    <w:rsid w:val="0077010A"/>
    <w:rsid w:val="0078525E"/>
    <w:rsid w:val="007865F3"/>
    <w:rsid w:val="00792589"/>
    <w:rsid w:val="0079418C"/>
    <w:rsid w:val="007B5D74"/>
    <w:rsid w:val="007C5BDA"/>
    <w:rsid w:val="007F43B0"/>
    <w:rsid w:val="00832CAD"/>
    <w:rsid w:val="00832ECA"/>
    <w:rsid w:val="0083553A"/>
    <w:rsid w:val="008470B8"/>
    <w:rsid w:val="00852F14"/>
    <w:rsid w:val="00855086"/>
    <w:rsid w:val="00866497"/>
    <w:rsid w:val="0087295B"/>
    <w:rsid w:val="008768D2"/>
    <w:rsid w:val="00886605"/>
    <w:rsid w:val="008A2844"/>
    <w:rsid w:val="008A33C2"/>
    <w:rsid w:val="008A5467"/>
    <w:rsid w:val="008B0378"/>
    <w:rsid w:val="008C1589"/>
    <w:rsid w:val="008E7665"/>
    <w:rsid w:val="008E7C64"/>
    <w:rsid w:val="00901AFD"/>
    <w:rsid w:val="00904694"/>
    <w:rsid w:val="00905D30"/>
    <w:rsid w:val="00934A7F"/>
    <w:rsid w:val="00970B4C"/>
    <w:rsid w:val="00986890"/>
    <w:rsid w:val="009871DD"/>
    <w:rsid w:val="009C2D68"/>
    <w:rsid w:val="009E2009"/>
    <w:rsid w:val="009F39F3"/>
    <w:rsid w:val="009F6FDE"/>
    <w:rsid w:val="00A05AC6"/>
    <w:rsid w:val="00A22B12"/>
    <w:rsid w:val="00A45325"/>
    <w:rsid w:val="00A47EC5"/>
    <w:rsid w:val="00A522AC"/>
    <w:rsid w:val="00A55C48"/>
    <w:rsid w:val="00A575F2"/>
    <w:rsid w:val="00A64211"/>
    <w:rsid w:val="00A712EF"/>
    <w:rsid w:val="00A771C0"/>
    <w:rsid w:val="00A80489"/>
    <w:rsid w:val="00A81039"/>
    <w:rsid w:val="00AA0881"/>
    <w:rsid w:val="00AC208C"/>
    <w:rsid w:val="00AC3BDD"/>
    <w:rsid w:val="00AC4BCF"/>
    <w:rsid w:val="00AC5872"/>
    <w:rsid w:val="00AE7FBB"/>
    <w:rsid w:val="00AF2BD5"/>
    <w:rsid w:val="00AF3556"/>
    <w:rsid w:val="00AF6F56"/>
    <w:rsid w:val="00B051CB"/>
    <w:rsid w:val="00B13C37"/>
    <w:rsid w:val="00B26C64"/>
    <w:rsid w:val="00B36EF7"/>
    <w:rsid w:val="00B40E26"/>
    <w:rsid w:val="00B552F3"/>
    <w:rsid w:val="00B71C7B"/>
    <w:rsid w:val="00B74F9E"/>
    <w:rsid w:val="00B96F48"/>
    <w:rsid w:val="00BA5EE4"/>
    <w:rsid w:val="00BC0312"/>
    <w:rsid w:val="00C02D02"/>
    <w:rsid w:val="00C05A85"/>
    <w:rsid w:val="00C12CBC"/>
    <w:rsid w:val="00C22120"/>
    <w:rsid w:val="00C24A31"/>
    <w:rsid w:val="00C37D97"/>
    <w:rsid w:val="00C37DA2"/>
    <w:rsid w:val="00C41572"/>
    <w:rsid w:val="00C4789C"/>
    <w:rsid w:val="00C55182"/>
    <w:rsid w:val="00C5626A"/>
    <w:rsid w:val="00C64A7E"/>
    <w:rsid w:val="00C65ABD"/>
    <w:rsid w:val="00C71647"/>
    <w:rsid w:val="00C83475"/>
    <w:rsid w:val="00C84E30"/>
    <w:rsid w:val="00C941A5"/>
    <w:rsid w:val="00CA6AC1"/>
    <w:rsid w:val="00CB3317"/>
    <w:rsid w:val="00CC267C"/>
    <w:rsid w:val="00CC31E1"/>
    <w:rsid w:val="00CC7051"/>
    <w:rsid w:val="00CE141C"/>
    <w:rsid w:val="00CE79CB"/>
    <w:rsid w:val="00CF3C2A"/>
    <w:rsid w:val="00D01D5A"/>
    <w:rsid w:val="00D101F8"/>
    <w:rsid w:val="00D34B06"/>
    <w:rsid w:val="00D44284"/>
    <w:rsid w:val="00D4598E"/>
    <w:rsid w:val="00D56010"/>
    <w:rsid w:val="00D572F1"/>
    <w:rsid w:val="00D81396"/>
    <w:rsid w:val="00DA1650"/>
    <w:rsid w:val="00DA1F06"/>
    <w:rsid w:val="00DA318B"/>
    <w:rsid w:val="00DB337A"/>
    <w:rsid w:val="00DC0E2A"/>
    <w:rsid w:val="00DC5412"/>
    <w:rsid w:val="00DE38BB"/>
    <w:rsid w:val="00E0025B"/>
    <w:rsid w:val="00E02382"/>
    <w:rsid w:val="00E1154A"/>
    <w:rsid w:val="00E212EE"/>
    <w:rsid w:val="00E21BC2"/>
    <w:rsid w:val="00E42451"/>
    <w:rsid w:val="00E64918"/>
    <w:rsid w:val="00E665BF"/>
    <w:rsid w:val="00E71963"/>
    <w:rsid w:val="00E9139E"/>
    <w:rsid w:val="00EA5DA2"/>
    <w:rsid w:val="00EB5353"/>
    <w:rsid w:val="00EB5AB9"/>
    <w:rsid w:val="00EC4AF4"/>
    <w:rsid w:val="00EC6FA8"/>
    <w:rsid w:val="00ED54BC"/>
    <w:rsid w:val="00EE05BB"/>
    <w:rsid w:val="00EE1057"/>
    <w:rsid w:val="00EF1A5D"/>
    <w:rsid w:val="00EF703D"/>
    <w:rsid w:val="00F02F23"/>
    <w:rsid w:val="00F13620"/>
    <w:rsid w:val="00F1760B"/>
    <w:rsid w:val="00F32326"/>
    <w:rsid w:val="00F34C96"/>
    <w:rsid w:val="00F35A0E"/>
    <w:rsid w:val="00F477EF"/>
    <w:rsid w:val="00F47AD4"/>
    <w:rsid w:val="00F613C5"/>
    <w:rsid w:val="00F70552"/>
    <w:rsid w:val="00F87727"/>
    <w:rsid w:val="00FA31C8"/>
    <w:rsid w:val="00FB0273"/>
    <w:rsid w:val="00FC038C"/>
    <w:rsid w:val="00FC4C60"/>
    <w:rsid w:val="00FD0574"/>
    <w:rsid w:val="00FE0497"/>
    <w:rsid w:val="00FE58D9"/>
    <w:rsid w:val="00FE726D"/>
    <w:rsid w:val="00FF015F"/>
    <w:rsid w:val="00FF0F39"/>
    <w:rsid w:val="00FF71B6"/>
    <w:rsid w:val="017A67B6"/>
    <w:rsid w:val="02094494"/>
    <w:rsid w:val="022CF7A0"/>
    <w:rsid w:val="026C84A8"/>
    <w:rsid w:val="029F1606"/>
    <w:rsid w:val="044E7DE8"/>
    <w:rsid w:val="055C09FC"/>
    <w:rsid w:val="064EA677"/>
    <w:rsid w:val="06E7417E"/>
    <w:rsid w:val="07B32A9B"/>
    <w:rsid w:val="07F0022E"/>
    <w:rsid w:val="090F2835"/>
    <w:rsid w:val="0949657A"/>
    <w:rsid w:val="09D53916"/>
    <w:rsid w:val="0A43530A"/>
    <w:rsid w:val="0A558E2F"/>
    <w:rsid w:val="0AB9CD6C"/>
    <w:rsid w:val="0AE03086"/>
    <w:rsid w:val="0BA45398"/>
    <w:rsid w:val="0E04F395"/>
    <w:rsid w:val="0E18D655"/>
    <w:rsid w:val="0EF0E5A5"/>
    <w:rsid w:val="0F174C93"/>
    <w:rsid w:val="0F338554"/>
    <w:rsid w:val="0FC7795D"/>
    <w:rsid w:val="0FECB85E"/>
    <w:rsid w:val="100206BE"/>
    <w:rsid w:val="10AF5519"/>
    <w:rsid w:val="10EB2888"/>
    <w:rsid w:val="117E52FF"/>
    <w:rsid w:val="11AB0DCC"/>
    <w:rsid w:val="1227246F"/>
    <w:rsid w:val="125AE087"/>
    <w:rsid w:val="125F413D"/>
    <w:rsid w:val="13788F2D"/>
    <w:rsid w:val="144ED6E8"/>
    <w:rsid w:val="146D4FC9"/>
    <w:rsid w:val="14D7F81B"/>
    <w:rsid w:val="1550120B"/>
    <w:rsid w:val="15B9FC74"/>
    <w:rsid w:val="16523523"/>
    <w:rsid w:val="16534EC2"/>
    <w:rsid w:val="1679103F"/>
    <w:rsid w:val="169E1B31"/>
    <w:rsid w:val="16E35BD6"/>
    <w:rsid w:val="16FD4261"/>
    <w:rsid w:val="173B6018"/>
    <w:rsid w:val="179559A0"/>
    <w:rsid w:val="17CF3177"/>
    <w:rsid w:val="17EA99DF"/>
    <w:rsid w:val="180E28F9"/>
    <w:rsid w:val="183B6F1E"/>
    <w:rsid w:val="187C3A5A"/>
    <w:rsid w:val="1979EEA8"/>
    <w:rsid w:val="199FED61"/>
    <w:rsid w:val="19C61622"/>
    <w:rsid w:val="19F07226"/>
    <w:rsid w:val="1B9DA49C"/>
    <w:rsid w:val="1BA57D9A"/>
    <w:rsid w:val="1BE13AC5"/>
    <w:rsid w:val="1C2C976B"/>
    <w:rsid w:val="1CE0DABF"/>
    <w:rsid w:val="1CF5EABE"/>
    <w:rsid w:val="1DA7527B"/>
    <w:rsid w:val="1DC64055"/>
    <w:rsid w:val="1E68D5FB"/>
    <w:rsid w:val="1EF1EC63"/>
    <w:rsid w:val="1F9A4C19"/>
    <w:rsid w:val="202DF7F5"/>
    <w:rsid w:val="204D3909"/>
    <w:rsid w:val="20CC5122"/>
    <w:rsid w:val="21051F7A"/>
    <w:rsid w:val="2145F0F3"/>
    <w:rsid w:val="21AAB420"/>
    <w:rsid w:val="221AF9FB"/>
    <w:rsid w:val="22365EA4"/>
    <w:rsid w:val="22698656"/>
    <w:rsid w:val="23087C5A"/>
    <w:rsid w:val="231FF0B4"/>
    <w:rsid w:val="235E0F9A"/>
    <w:rsid w:val="23D22F05"/>
    <w:rsid w:val="23EE1406"/>
    <w:rsid w:val="2450C4EA"/>
    <w:rsid w:val="25023044"/>
    <w:rsid w:val="250975B7"/>
    <w:rsid w:val="259BA111"/>
    <w:rsid w:val="2603CE7F"/>
    <w:rsid w:val="27741090"/>
    <w:rsid w:val="27E55B5C"/>
    <w:rsid w:val="283A1A26"/>
    <w:rsid w:val="286AE5D1"/>
    <w:rsid w:val="2923188C"/>
    <w:rsid w:val="2AA9879A"/>
    <w:rsid w:val="2BAFC5B2"/>
    <w:rsid w:val="2C3DF3AD"/>
    <w:rsid w:val="2CA1A87B"/>
    <w:rsid w:val="2D38B0A8"/>
    <w:rsid w:val="309789B0"/>
    <w:rsid w:val="30B3A013"/>
    <w:rsid w:val="30D13EC7"/>
    <w:rsid w:val="32C9FAD2"/>
    <w:rsid w:val="330F251A"/>
    <w:rsid w:val="336633E7"/>
    <w:rsid w:val="339347F9"/>
    <w:rsid w:val="33C6C7D1"/>
    <w:rsid w:val="3406F189"/>
    <w:rsid w:val="3478C59B"/>
    <w:rsid w:val="34D87783"/>
    <w:rsid w:val="354D72BB"/>
    <w:rsid w:val="373C4DB4"/>
    <w:rsid w:val="3749FE35"/>
    <w:rsid w:val="376E737F"/>
    <w:rsid w:val="380E9882"/>
    <w:rsid w:val="38343E8C"/>
    <w:rsid w:val="385D108E"/>
    <w:rsid w:val="38811097"/>
    <w:rsid w:val="39D6BD90"/>
    <w:rsid w:val="3A0FEC6C"/>
    <w:rsid w:val="3A42FC9E"/>
    <w:rsid w:val="3A7844E1"/>
    <w:rsid w:val="3A7E79DE"/>
    <w:rsid w:val="3B219BA2"/>
    <w:rsid w:val="3BA7E7D2"/>
    <w:rsid w:val="3C0E6C9B"/>
    <w:rsid w:val="3C663EA7"/>
    <w:rsid w:val="3C9A151D"/>
    <w:rsid w:val="3CB6696F"/>
    <w:rsid w:val="3CE81257"/>
    <w:rsid w:val="3D07AFAF"/>
    <w:rsid w:val="3D9849B9"/>
    <w:rsid w:val="3DA48135"/>
    <w:rsid w:val="3DBC53F9"/>
    <w:rsid w:val="3E0FE647"/>
    <w:rsid w:val="3E45B4FA"/>
    <w:rsid w:val="3E75EA9A"/>
    <w:rsid w:val="3E873F51"/>
    <w:rsid w:val="3E9BBF7F"/>
    <w:rsid w:val="3F1C7444"/>
    <w:rsid w:val="3F6E0330"/>
    <w:rsid w:val="3F8B2798"/>
    <w:rsid w:val="3F91BB05"/>
    <w:rsid w:val="4004A058"/>
    <w:rsid w:val="4017AC19"/>
    <w:rsid w:val="401FB319"/>
    <w:rsid w:val="4060DE20"/>
    <w:rsid w:val="40D6D728"/>
    <w:rsid w:val="40F0E87F"/>
    <w:rsid w:val="4146A544"/>
    <w:rsid w:val="41D61AC7"/>
    <w:rsid w:val="4206DDF5"/>
    <w:rsid w:val="42A2AF91"/>
    <w:rsid w:val="42C6F63F"/>
    <w:rsid w:val="43A1C9CD"/>
    <w:rsid w:val="43CC16A7"/>
    <w:rsid w:val="43E04EB3"/>
    <w:rsid w:val="44078B3D"/>
    <w:rsid w:val="4433F0B3"/>
    <w:rsid w:val="44800791"/>
    <w:rsid w:val="45C00BA1"/>
    <w:rsid w:val="471E7CB9"/>
    <w:rsid w:val="4724DC84"/>
    <w:rsid w:val="4725B05F"/>
    <w:rsid w:val="474EC15F"/>
    <w:rsid w:val="477DE347"/>
    <w:rsid w:val="47BE2346"/>
    <w:rsid w:val="47FACDFC"/>
    <w:rsid w:val="48861524"/>
    <w:rsid w:val="4889FC70"/>
    <w:rsid w:val="48A124BD"/>
    <w:rsid w:val="4950C511"/>
    <w:rsid w:val="4B40F470"/>
    <w:rsid w:val="4B790CA6"/>
    <w:rsid w:val="4B820318"/>
    <w:rsid w:val="4CAD6D71"/>
    <w:rsid w:val="4D619B78"/>
    <w:rsid w:val="4D7EA5C3"/>
    <w:rsid w:val="4DA85816"/>
    <w:rsid w:val="4DED6E6D"/>
    <w:rsid w:val="4E42FB32"/>
    <w:rsid w:val="4E5E6877"/>
    <w:rsid w:val="4E64C693"/>
    <w:rsid w:val="4E7D4744"/>
    <w:rsid w:val="4E84604D"/>
    <w:rsid w:val="4F0AA3DC"/>
    <w:rsid w:val="4F106641"/>
    <w:rsid w:val="4F15CFB1"/>
    <w:rsid w:val="4F4F7AC1"/>
    <w:rsid w:val="4FCEFEAF"/>
    <w:rsid w:val="4FEF43D1"/>
    <w:rsid w:val="50B8480C"/>
    <w:rsid w:val="515AF80E"/>
    <w:rsid w:val="52031C6C"/>
    <w:rsid w:val="5210B47E"/>
    <w:rsid w:val="5285344C"/>
    <w:rsid w:val="52CBDF32"/>
    <w:rsid w:val="552BA899"/>
    <w:rsid w:val="55B86BAD"/>
    <w:rsid w:val="55DEF0DB"/>
    <w:rsid w:val="563C9DCF"/>
    <w:rsid w:val="57F78B9C"/>
    <w:rsid w:val="5811A932"/>
    <w:rsid w:val="581337C3"/>
    <w:rsid w:val="58DB7B0D"/>
    <w:rsid w:val="58E49A52"/>
    <w:rsid w:val="592E0350"/>
    <w:rsid w:val="59436E47"/>
    <w:rsid w:val="5992292D"/>
    <w:rsid w:val="59C684CB"/>
    <w:rsid w:val="5A298F17"/>
    <w:rsid w:val="5A65185E"/>
    <w:rsid w:val="5AEA36D3"/>
    <w:rsid w:val="5B81A567"/>
    <w:rsid w:val="5C015988"/>
    <w:rsid w:val="5C0E7F8F"/>
    <w:rsid w:val="5CF7E322"/>
    <w:rsid w:val="5D0D7CA8"/>
    <w:rsid w:val="5E170C63"/>
    <w:rsid w:val="5FBC231A"/>
    <w:rsid w:val="5FC81130"/>
    <w:rsid w:val="602A3372"/>
    <w:rsid w:val="60CA47F2"/>
    <w:rsid w:val="611DE065"/>
    <w:rsid w:val="61DD0532"/>
    <w:rsid w:val="627F4F4C"/>
    <w:rsid w:val="62DDD517"/>
    <w:rsid w:val="62F3C3DC"/>
    <w:rsid w:val="636ADD40"/>
    <w:rsid w:val="65BB565C"/>
    <w:rsid w:val="66EE7541"/>
    <w:rsid w:val="670A8519"/>
    <w:rsid w:val="670D66B1"/>
    <w:rsid w:val="6792885B"/>
    <w:rsid w:val="68B8FFB4"/>
    <w:rsid w:val="68FB4E24"/>
    <w:rsid w:val="691E6644"/>
    <w:rsid w:val="69A4429D"/>
    <w:rsid w:val="69E9CC10"/>
    <w:rsid w:val="6A9FF341"/>
    <w:rsid w:val="6AF0E257"/>
    <w:rsid w:val="6B429DC0"/>
    <w:rsid w:val="6BF0A4C9"/>
    <w:rsid w:val="6C65F97E"/>
    <w:rsid w:val="6C850A95"/>
    <w:rsid w:val="6CCCFF0E"/>
    <w:rsid w:val="6DA86558"/>
    <w:rsid w:val="6DB4B1B5"/>
    <w:rsid w:val="6DE7708C"/>
    <w:rsid w:val="6E2EE525"/>
    <w:rsid w:val="6E3E6409"/>
    <w:rsid w:val="6EB4B041"/>
    <w:rsid w:val="6EB550A8"/>
    <w:rsid w:val="6EBD3D33"/>
    <w:rsid w:val="6F0C26CE"/>
    <w:rsid w:val="6FB5032F"/>
    <w:rsid w:val="6FDA346A"/>
    <w:rsid w:val="7047AB7F"/>
    <w:rsid w:val="707C8C16"/>
    <w:rsid w:val="707D5FD5"/>
    <w:rsid w:val="708E0334"/>
    <w:rsid w:val="71204244"/>
    <w:rsid w:val="7164327C"/>
    <w:rsid w:val="719BD770"/>
    <w:rsid w:val="726B38CC"/>
    <w:rsid w:val="73339572"/>
    <w:rsid w:val="73394308"/>
    <w:rsid w:val="73D1EE98"/>
    <w:rsid w:val="73D2C15C"/>
    <w:rsid w:val="74068C9E"/>
    <w:rsid w:val="754DEF4E"/>
    <w:rsid w:val="756E91BD"/>
    <w:rsid w:val="758482F9"/>
    <w:rsid w:val="75E2C253"/>
    <w:rsid w:val="764975EE"/>
    <w:rsid w:val="7698BC26"/>
    <w:rsid w:val="76EA2B36"/>
    <w:rsid w:val="77238A7B"/>
    <w:rsid w:val="774E52BA"/>
    <w:rsid w:val="77BA5D12"/>
    <w:rsid w:val="7820E6E1"/>
    <w:rsid w:val="782A47D6"/>
    <w:rsid w:val="78B4D19D"/>
    <w:rsid w:val="78E4DAD5"/>
    <w:rsid w:val="78F2370F"/>
    <w:rsid w:val="78FFEBBA"/>
    <w:rsid w:val="7918FA04"/>
    <w:rsid w:val="7A62E89B"/>
    <w:rsid w:val="7B0B2631"/>
    <w:rsid w:val="7B10AF00"/>
    <w:rsid w:val="7B395669"/>
    <w:rsid w:val="7B642894"/>
    <w:rsid w:val="7BCF8C44"/>
    <w:rsid w:val="7C62F4EB"/>
    <w:rsid w:val="7CACB7D5"/>
    <w:rsid w:val="7CDC3F6A"/>
    <w:rsid w:val="7CFC7B31"/>
    <w:rsid w:val="7D61FE68"/>
    <w:rsid w:val="7DFEC54C"/>
    <w:rsid w:val="7E780FCB"/>
    <w:rsid w:val="7F273800"/>
    <w:rsid w:val="7F9A95AD"/>
    <w:rsid w:val="7FCAF335"/>
    <w:rsid w:val="7FDE9754"/>
    <w:rsid w:val="7FFFEE7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4A5CC"/>
  <w15:docId w15:val="{144D313E-6356-4A0E-9F6A-5CFDBF80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03D"/>
    <w:rPr>
      <w:rFonts w:ascii="Arial" w:hAnsi="Arial"/>
      <w:sz w:val="22"/>
    </w:rPr>
  </w:style>
  <w:style w:type="paragraph" w:styleId="Heading1">
    <w:name w:val="heading 1"/>
    <w:basedOn w:val="Heading"/>
    <w:next w:val="Normal"/>
    <w:link w:val="Heading1Char"/>
    <w:qFormat/>
    <w:rsid w:val="00C37D97"/>
    <w:pPr>
      <w:spacing w:before="120" w:after="120" w:line="276" w:lineRule="auto"/>
      <w:outlineLvl w:val="0"/>
    </w:pPr>
    <w:rPr>
      <w:color w:val="228830"/>
      <w:sz w:val="56"/>
      <w:szCs w:val="44"/>
    </w:rPr>
  </w:style>
  <w:style w:type="paragraph" w:styleId="Heading2">
    <w:name w:val="heading 2"/>
    <w:basedOn w:val="Date"/>
    <w:next w:val="Normal"/>
    <w:link w:val="Heading2Char"/>
    <w:qFormat/>
    <w:rsid w:val="00C37D97"/>
    <w:pPr>
      <w:spacing w:line="276" w:lineRule="auto"/>
      <w:outlineLvl w:val="1"/>
    </w:pPr>
    <w:rPr>
      <w:color w:val="ACC811"/>
      <w:sz w:val="36"/>
      <w:szCs w:val="36"/>
    </w:rPr>
  </w:style>
  <w:style w:type="paragraph" w:styleId="Heading3">
    <w:name w:val="heading 3"/>
    <w:basedOn w:val="ListNumber"/>
    <w:next w:val="Normal"/>
    <w:link w:val="Heading3Char"/>
    <w:qFormat/>
    <w:rsid w:val="00FE0497"/>
    <w:pPr>
      <w:numPr>
        <w:ilvl w:val="0"/>
      </w:numPr>
      <w:spacing w:after="120"/>
      <w:outlineLvl w:val="2"/>
    </w:pPr>
    <w:rPr>
      <w:b/>
      <w:bCs/>
      <w:color w:val="228830"/>
      <w:sz w:val="28"/>
      <w:szCs w:val="32"/>
    </w:rPr>
  </w:style>
  <w:style w:type="paragraph" w:styleId="Heading4">
    <w:name w:val="heading 4"/>
    <w:basedOn w:val="Heading3"/>
    <w:next w:val="Normal"/>
    <w:link w:val="Heading4Char"/>
    <w:qFormat/>
    <w:rsid w:val="00C37D97"/>
    <w:pPr>
      <w:numPr>
        <w:numId w:val="0"/>
      </w:numPr>
      <w:ind w:firstLine="567"/>
      <w:outlineLvl w:val="3"/>
    </w:pPr>
    <w:rPr>
      <w:color w:val="ACC81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A1"/>
    <w:pPr>
      <w:tabs>
        <w:tab w:val="center" w:pos="4320"/>
        <w:tab w:val="right" w:pos="8640"/>
      </w:tabs>
    </w:pPr>
  </w:style>
  <w:style w:type="character" w:customStyle="1" w:styleId="HeaderChar">
    <w:name w:val="Header Char"/>
    <w:basedOn w:val="DefaultParagraphFont"/>
    <w:link w:val="Header"/>
    <w:uiPriority w:val="99"/>
    <w:rsid w:val="00B94EA1"/>
  </w:style>
  <w:style w:type="paragraph" w:styleId="Footer">
    <w:name w:val="footer"/>
    <w:basedOn w:val="Normal"/>
    <w:link w:val="FooterChar"/>
    <w:uiPriority w:val="99"/>
    <w:unhideWhenUsed/>
    <w:rsid w:val="00B94EA1"/>
    <w:pPr>
      <w:tabs>
        <w:tab w:val="center" w:pos="4320"/>
        <w:tab w:val="right" w:pos="8640"/>
      </w:tabs>
    </w:pPr>
  </w:style>
  <w:style w:type="character" w:customStyle="1" w:styleId="FooterChar">
    <w:name w:val="Footer Char"/>
    <w:basedOn w:val="DefaultParagraphFont"/>
    <w:link w:val="Footer"/>
    <w:uiPriority w:val="99"/>
    <w:rsid w:val="00B94EA1"/>
  </w:style>
  <w:style w:type="paragraph" w:customStyle="1" w:styleId="Heading">
    <w:name w:val="Heading"/>
    <w:basedOn w:val="Normal"/>
    <w:rsid w:val="002D24EF"/>
    <w:pPr>
      <w:spacing w:line="400" w:lineRule="exact"/>
    </w:pPr>
    <w:rPr>
      <w:b/>
      <w:sz w:val="36"/>
    </w:rPr>
  </w:style>
  <w:style w:type="character" w:customStyle="1" w:styleId="Heading4Char">
    <w:name w:val="Heading 4 Char"/>
    <w:basedOn w:val="DefaultParagraphFont"/>
    <w:link w:val="Heading4"/>
    <w:rsid w:val="00C37D97"/>
    <w:rPr>
      <w:rFonts w:ascii="Arial" w:hAnsi="Arial"/>
      <w:b/>
      <w:color w:val="ACC811"/>
      <w:sz w:val="22"/>
    </w:rPr>
  </w:style>
  <w:style w:type="character" w:customStyle="1" w:styleId="Heading1Char">
    <w:name w:val="Heading 1 Char"/>
    <w:basedOn w:val="DefaultParagraphFont"/>
    <w:link w:val="Heading1"/>
    <w:uiPriority w:val="9"/>
    <w:rsid w:val="00C37D97"/>
    <w:rPr>
      <w:rFonts w:ascii="Arial" w:hAnsi="Arial"/>
      <w:b/>
      <w:color w:val="228830"/>
      <w:sz w:val="56"/>
      <w:szCs w:val="44"/>
    </w:rPr>
  </w:style>
  <w:style w:type="character" w:customStyle="1" w:styleId="Heading3Char">
    <w:name w:val="Heading 3 Char"/>
    <w:basedOn w:val="DefaultParagraphFont"/>
    <w:link w:val="Heading3"/>
    <w:rsid w:val="00FE0497"/>
    <w:rPr>
      <w:rFonts w:ascii="Arial" w:hAnsi="Arial"/>
      <w:b/>
      <w:bCs/>
      <w:color w:val="228830"/>
      <w:sz w:val="28"/>
      <w:szCs w:val="32"/>
    </w:rPr>
  </w:style>
  <w:style w:type="table" w:styleId="TableGrid">
    <w:name w:val="Table Grid"/>
    <w:basedOn w:val="TableNormal"/>
    <w:rsid w:val="00E0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37D97"/>
    <w:rPr>
      <w:rFonts w:ascii="Arial" w:hAnsi="Arial"/>
      <w:b/>
      <w:color w:val="ACC811"/>
      <w:sz w:val="36"/>
      <w:szCs w:val="36"/>
    </w:rPr>
  </w:style>
  <w:style w:type="paragraph" w:styleId="Date">
    <w:name w:val="Date"/>
    <w:basedOn w:val="Heading"/>
    <w:next w:val="Normal"/>
    <w:link w:val="DateChar"/>
    <w:rsid w:val="00EB5AB9"/>
    <w:rPr>
      <w:sz w:val="24"/>
    </w:rPr>
  </w:style>
  <w:style w:type="character" w:customStyle="1" w:styleId="DateChar">
    <w:name w:val="Date Char"/>
    <w:basedOn w:val="DefaultParagraphFont"/>
    <w:link w:val="Date"/>
    <w:rsid w:val="00EB5AB9"/>
    <w:rPr>
      <w:rFonts w:ascii="Arial" w:hAnsi="Arial"/>
      <w:b/>
    </w:rPr>
  </w:style>
  <w:style w:type="paragraph" w:styleId="ListBullet">
    <w:name w:val="List Bullet"/>
    <w:basedOn w:val="Normal"/>
    <w:rsid w:val="00206864"/>
    <w:pPr>
      <w:numPr>
        <w:numId w:val="3"/>
      </w:numPr>
      <w:ind w:left="567" w:hanging="567"/>
    </w:pPr>
  </w:style>
  <w:style w:type="paragraph" w:styleId="ListBullet2">
    <w:name w:val="List Bullet 2"/>
    <w:basedOn w:val="ListBullet"/>
    <w:rsid w:val="00206864"/>
    <w:pPr>
      <w:numPr>
        <w:ilvl w:val="1"/>
      </w:numPr>
    </w:pPr>
  </w:style>
  <w:style w:type="paragraph" w:styleId="ListNumber">
    <w:name w:val="List Number"/>
    <w:basedOn w:val="Normal"/>
    <w:qFormat/>
    <w:rsid w:val="00FE0497"/>
    <w:pPr>
      <w:numPr>
        <w:ilvl w:val="1"/>
        <w:numId w:val="5"/>
      </w:numPr>
      <w:spacing w:line="276" w:lineRule="auto"/>
    </w:pPr>
  </w:style>
  <w:style w:type="paragraph" w:styleId="ListBullet3">
    <w:name w:val="List Bullet 3"/>
    <w:basedOn w:val="ListBullet2"/>
    <w:rsid w:val="004A599B"/>
    <w:pPr>
      <w:numPr>
        <w:ilvl w:val="2"/>
      </w:numPr>
    </w:pPr>
  </w:style>
  <w:style w:type="paragraph" w:styleId="ListBullet4">
    <w:name w:val="List Bullet 4"/>
    <w:basedOn w:val="Normal"/>
    <w:rsid w:val="00EB5AB9"/>
    <w:pPr>
      <w:numPr>
        <w:numId w:val="1"/>
      </w:numPr>
      <w:ind w:left="1429" w:hanging="357"/>
      <w:contextualSpacing/>
    </w:pPr>
  </w:style>
  <w:style w:type="paragraph" w:styleId="ListBullet5">
    <w:name w:val="List Bullet 5"/>
    <w:basedOn w:val="Normal"/>
    <w:rsid w:val="00AC4BCF"/>
    <w:pPr>
      <w:numPr>
        <w:numId w:val="2"/>
      </w:numPr>
      <w:ind w:left="1786" w:hanging="357"/>
      <w:contextualSpacing/>
    </w:pPr>
  </w:style>
  <w:style w:type="paragraph" w:styleId="ListNumber2">
    <w:name w:val="List Number 2"/>
    <w:basedOn w:val="Normal"/>
    <w:qFormat/>
    <w:rsid w:val="00FE0497"/>
    <w:pPr>
      <w:numPr>
        <w:ilvl w:val="3"/>
        <w:numId w:val="5"/>
      </w:numPr>
      <w:spacing w:line="276" w:lineRule="auto"/>
    </w:pPr>
    <w:rPr>
      <w:b/>
    </w:rPr>
  </w:style>
  <w:style w:type="paragraph" w:styleId="ListNumber3">
    <w:name w:val="List Number 3"/>
    <w:basedOn w:val="ListNumber2"/>
    <w:rsid w:val="00707AF0"/>
    <w:pPr>
      <w:numPr>
        <w:ilvl w:val="2"/>
      </w:numPr>
    </w:pPr>
  </w:style>
  <w:style w:type="numbering" w:customStyle="1" w:styleId="Style1">
    <w:name w:val="Style1"/>
    <w:uiPriority w:val="99"/>
    <w:rsid w:val="008768D2"/>
    <w:pPr>
      <w:numPr>
        <w:numId w:val="4"/>
      </w:numPr>
    </w:pPr>
  </w:style>
  <w:style w:type="numbering" w:customStyle="1" w:styleId="Style2">
    <w:name w:val="Style2"/>
    <w:uiPriority w:val="99"/>
    <w:rsid w:val="00707AF0"/>
    <w:pPr>
      <w:numPr>
        <w:numId w:val="6"/>
      </w:numPr>
    </w:pPr>
  </w:style>
  <w:style w:type="paragraph" w:styleId="BalloonText">
    <w:name w:val="Balloon Text"/>
    <w:basedOn w:val="Normal"/>
    <w:link w:val="BalloonTextChar"/>
    <w:rsid w:val="00EF703D"/>
    <w:rPr>
      <w:rFonts w:ascii="Tahoma" w:hAnsi="Tahoma" w:cs="Tahoma"/>
      <w:sz w:val="16"/>
      <w:szCs w:val="16"/>
    </w:rPr>
  </w:style>
  <w:style w:type="character" w:customStyle="1" w:styleId="BalloonTextChar">
    <w:name w:val="Balloon Text Char"/>
    <w:basedOn w:val="DefaultParagraphFont"/>
    <w:link w:val="BalloonText"/>
    <w:rsid w:val="00EF703D"/>
    <w:rPr>
      <w:rFonts w:ascii="Tahoma" w:hAnsi="Tahoma" w:cs="Tahoma"/>
      <w:sz w:val="16"/>
      <w:szCs w:val="16"/>
    </w:rPr>
  </w:style>
  <w:style w:type="paragraph" w:styleId="ListParagraph">
    <w:name w:val="List Paragraph"/>
    <w:basedOn w:val="Normal"/>
    <w:rsid w:val="00EF703D"/>
    <w:pPr>
      <w:ind w:left="720"/>
      <w:contextualSpacing/>
    </w:pPr>
  </w:style>
  <w:style w:type="paragraph" w:customStyle="1" w:styleId="Simplenumbering">
    <w:name w:val="Simple numbering"/>
    <w:basedOn w:val="ListNumber"/>
    <w:qFormat/>
    <w:rsid w:val="00EF703D"/>
    <w:pPr>
      <w:numPr>
        <w:numId w:val="7"/>
      </w:numPr>
    </w:pPr>
    <w:rPr>
      <w:b/>
    </w:rPr>
  </w:style>
  <w:style w:type="paragraph" w:styleId="TOCHeading">
    <w:name w:val="TOC Heading"/>
    <w:basedOn w:val="Heading1"/>
    <w:next w:val="Normal"/>
    <w:uiPriority w:val="39"/>
    <w:unhideWhenUsed/>
    <w:qFormat/>
    <w:rsid w:val="00FE0497"/>
    <w:pPr>
      <w:keepNext/>
      <w:keepLines/>
      <w:spacing w:before="480" w:after="0"/>
      <w:outlineLvl w:val="9"/>
    </w:pPr>
    <w:rPr>
      <w:rFonts w:asciiTheme="minorHAnsi" w:eastAsiaTheme="majorEastAsia" w:hAnsiTheme="minorHAnsi" w:cstheme="majorBidi"/>
      <w:bCs/>
      <w:color w:val="006600"/>
      <w:sz w:val="28"/>
      <w:szCs w:val="28"/>
      <w:lang w:val="en-US" w:eastAsia="ja-JP"/>
    </w:rPr>
  </w:style>
  <w:style w:type="paragraph" w:styleId="TOC1">
    <w:name w:val="toc 1"/>
    <w:basedOn w:val="Normal"/>
    <w:next w:val="Normal"/>
    <w:autoRedefine/>
    <w:uiPriority w:val="39"/>
    <w:unhideWhenUsed/>
    <w:rsid w:val="00FE0497"/>
    <w:pPr>
      <w:spacing w:after="100" w:line="276" w:lineRule="auto"/>
    </w:pPr>
    <w:rPr>
      <w:rFonts w:asciiTheme="minorHAnsi" w:hAnsiTheme="minorHAnsi"/>
      <w:szCs w:val="22"/>
    </w:rPr>
  </w:style>
  <w:style w:type="character" w:styleId="Hyperlink">
    <w:name w:val="Hyperlink"/>
    <w:basedOn w:val="DefaultParagraphFont"/>
    <w:uiPriority w:val="99"/>
    <w:unhideWhenUsed/>
    <w:rsid w:val="00FE0497"/>
    <w:rPr>
      <w:color w:val="0000FF" w:themeColor="hyperlink"/>
      <w:u w:val="single"/>
    </w:rPr>
  </w:style>
  <w:style w:type="paragraph" w:styleId="TOC2">
    <w:name w:val="toc 2"/>
    <w:basedOn w:val="Normal"/>
    <w:next w:val="Normal"/>
    <w:autoRedefine/>
    <w:uiPriority w:val="39"/>
    <w:unhideWhenUsed/>
    <w:rsid w:val="00FE0497"/>
    <w:pPr>
      <w:spacing w:after="100" w:line="276" w:lineRule="auto"/>
      <w:ind w:left="220"/>
    </w:pPr>
    <w:rPr>
      <w:rFonts w:asciiTheme="minorHAnsi" w:hAnsiTheme="minorHAnsi"/>
      <w:szCs w:val="22"/>
    </w:rPr>
  </w:style>
  <w:style w:type="paragraph" w:styleId="TOC3">
    <w:name w:val="toc 3"/>
    <w:basedOn w:val="Normal"/>
    <w:next w:val="Normal"/>
    <w:autoRedefine/>
    <w:uiPriority w:val="39"/>
    <w:unhideWhenUsed/>
    <w:rsid w:val="00FE0497"/>
    <w:pPr>
      <w:spacing w:after="100" w:line="276" w:lineRule="auto"/>
      <w:ind w:left="440"/>
    </w:pPr>
    <w:rPr>
      <w:rFonts w:asciiTheme="minorHAnsi" w:hAnsiTheme="minorHAnsi"/>
      <w:szCs w:val="22"/>
    </w:rPr>
  </w:style>
  <w:style w:type="paragraph" w:styleId="TableofFigures">
    <w:name w:val="table of figures"/>
    <w:basedOn w:val="Normal"/>
    <w:next w:val="Normal"/>
    <w:uiPriority w:val="99"/>
    <w:unhideWhenUsed/>
    <w:rsid w:val="00C12CBC"/>
  </w:style>
  <w:style w:type="paragraph" w:styleId="TOC4">
    <w:name w:val="toc 4"/>
    <w:basedOn w:val="Normal"/>
    <w:next w:val="Normal"/>
    <w:autoRedefine/>
    <w:uiPriority w:val="39"/>
    <w:unhideWhenUsed/>
    <w:rsid w:val="00C12CBC"/>
    <w:pPr>
      <w:spacing w:after="100"/>
      <w:ind w:left="660"/>
    </w:pPr>
  </w:style>
  <w:style w:type="paragraph" w:styleId="FootnoteText">
    <w:name w:val="footnote text"/>
    <w:basedOn w:val="Normal"/>
    <w:link w:val="FootnoteTextChar"/>
    <w:semiHidden/>
    <w:unhideWhenUsed/>
    <w:rsid w:val="00362DD7"/>
    <w:rPr>
      <w:sz w:val="20"/>
      <w:szCs w:val="20"/>
    </w:rPr>
  </w:style>
  <w:style w:type="character" w:customStyle="1" w:styleId="FootnoteTextChar">
    <w:name w:val="Footnote Text Char"/>
    <w:basedOn w:val="DefaultParagraphFont"/>
    <w:link w:val="FootnoteText"/>
    <w:semiHidden/>
    <w:rsid w:val="00362DD7"/>
    <w:rPr>
      <w:rFonts w:ascii="Arial" w:hAnsi="Arial"/>
      <w:sz w:val="20"/>
      <w:szCs w:val="20"/>
    </w:rPr>
  </w:style>
  <w:style w:type="character" w:styleId="FootnoteReference">
    <w:name w:val="footnote reference"/>
    <w:basedOn w:val="DefaultParagraphFont"/>
    <w:unhideWhenUsed/>
    <w:rsid w:val="00362DD7"/>
    <w:rPr>
      <w:vertAlign w:val="superscript"/>
    </w:rPr>
  </w:style>
  <w:style w:type="character" w:styleId="UnresolvedMention">
    <w:name w:val="Unresolved Mention"/>
    <w:basedOn w:val="DefaultParagraphFont"/>
    <w:uiPriority w:val="99"/>
    <w:semiHidden/>
    <w:unhideWhenUsed/>
    <w:rsid w:val="00B96F48"/>
    <w:rPr>
      <w:color w:val="605E5C"/>
      <w:shd w:val="clear" w:color="auto" w:fill="E1DFDD"/>
    </w:rPr>
  </w:style>
  <w:style w:type="character" w:styleId="CommentReference">
    <w:name w:val="annotation reference"/>
    <w:basedOn w:val="DefaultParagraphFont"/>
    <w:semiHidden/>
    <w:unhideWhenUsed/>
    <w:rsid w:val="00072EC0"/>
    <w:rPr>
      <w:sz w:val="16"/>
      <w:szCs w:val="16"/>
    </w:rPr>
  </w:style>
  <w:style w:type="paragraph" w:styleId="CommentText">
    <w:name w:val="annotation text"/>
    <w:basedOn w:val="Normal"/>
    <w:link w:val="CommentTextChar"/>
    <w:semiHidden/>
    <w:unhideWhenUsed/>
    <w:rsid w:val="00072EC0"/>
    <w:rPr>
      <w:sz w:val="20"/>
      <w:szCs w:val="20"/>
    </w:rPr>
  </w:style>
  <w:style w:type="character" w:customStyle="1" w:styleId="CommentTextChar">
    <w:name w:val="Comment Text Char"/>
    <w:basedOn w:val="DefaultParagraphFont"/>
    <w:link w:val="CommentText"/>
    <w:semiHidden/>
    <w:rsid w:val="00072EC0"/>
    <w:rPr>
      <w:rFonts w:ascii="Arial" w:hAnsi="Arial"/>
      <w:sz w:val="20"/>
      <w:szCs w:val="20"/>
    </w:rPr>
  </w:style>
  <w:style w:type="paragraph" w:styleId="CommentSubject">
    <w:name w:val="annotation subject"/>
    <w:basedOn w:val="CommentText"/>
    <w:next w:val="CommentText"/>
    <w:link w:val="CommentSubjectChar"/>
    <w:semiHidden/>
    <w:unhideWhenUsed/>
    <w:rsid w:val="00072EC0"/>
    <w:rPr>
      <w:b/>
      <w:bCs/>
    </w:rPr>
  </w:style>
  <w:style w:type="character" w:customStyle="1" w:styleId="CommentSubjectChar">
    <w:name w:val="Comment Subject Char"/>
    <w:basedOn w:val="CommentTextChar"/>
    <w:link w:val="CommentSubject"/>
    <w:semiHidden/>
    <w:rsid w:val="00072EC0"/>
    <w:rPr>
      <w:rFonts w:ascii="Arial" w:hAnsi="Arial"/>
      <w:b/>
      <w:bCs/>
      <w:sz w:val="20"/>
      <w:szCs w:val="20"/>
    </w:rPr>
  </w:style>
  <w:style w:type="paragraph" w:styleId="NormalWeb">
    <w:name w:val="Normal (Web)"/>
    <w:basedOn w:val="Normal"/>
    <w:uiPriority w:val="99"/>
    <w:unhideWhenUsed/>
    <w:rsid w:val="00AA0881"/>
    <w:rPr>
      <w:rFonts w:ascii="Times New Roman" w:hAnsi="Times New Roman" w:cs="Times New Roman"/>
      <w:sz w:val="24"/>
    </w:rPr>
  </w:style>
  <w:style w:type="character" w:styleId="FollowedHyperlink">
    <w:name w:val="FollowedHyperlink"/>
    <w:basedOn w:val="DefaultParagraphFont"/>
    <w:semiHidden/>
    <w:unhideWhenUsed/>
    <w:rsid w:val="00CF3C2A"/>
    <w:rPr>
      <w:color w:val="800080" w:themeColor="followedHyperlink"/>
      <w:u w:val="single"/>
    </w:rPr>
  </w:style>
  <w:style w:type="paragraph" w:styleId="BodyTextIndent">
    <w:name w:val="Body Text Indent"/>
    <w:basedOn w:val="Normal"/>
    <w:link w:val="BodyTextIndentChar"/>
    <w:unhideWhenUsed/>
    <w:rsid w:val="00721CCF"/>
    <w:pPr>
      <w:ind w:left="709"/>
      <w:jc w:val="both"/>
    </w:pPr>
    <w:rPr>
      <w:rFonts w:ascii="Times New Roman" w:eastAsia="Times New Roman" w:hAnsi="Times New Roman" w:cs="Times New Roman"/>
      <w:sz w:val="24"/>
    </w:rPr>
  </w:style>
  <w:style w:type="character" w:customStyle="1" w:styleId="BodyTextIndentChar">
    <w:name w:val="Body Text Indent Char"/>
    <w:basedOn w:val="DefaultParagraphFont"/>
    <w:link w:val="BodyTextIndent"/>
    <w:rsid w:val="00721CCF"/>
    <w:rPr>
      <w:rFonts w:ascii="Times New Roman" w:eastAsia="Times New Roman" w:hAnsi="Times New Roman" w:cs="Times New Roman"/>
    </w:rPr>
  </w:style>
  <w:style w:type="paragraph" w:styleId="BodyText2">
    <w:name w:val="Body Text 2"/>
    <w:basedOn w:val="Normal"/>
    <w:link w:val="BodyText2Char"/>
    <w:semiHidden/>
    <w:unhideWhenUsed/>
    <w:rsid w:val="00D34B06"/>
    <w:pPr>
      <w:spacing w:after="120" w:line="480" w:lineRule="auto"/>
    </w:pPr>
  </w:style>
  <w:style w:type="character" w:customStyle="1" w:styleId="BodyText2Char">
    <w:name w:val="Body Text 2 Char"/>
    <w:basedOn w:val="DefaultParagraphFont"/>
    <w:link w:val="BodyText2"/>
    <w:semiHidden/>
    <w:rsid w:val="00D34B0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180">
      <w:bodyDiv w:val="1"/>
      <w:marLeft w:val="0"/>
      <w:marRight w:val="0"/>
      <w:marTop w:val="0"/>
      <w:marBottom w:val="0"/>
      <w:divBdr>
        <w:top w:val="none" w:sz="0" w:space="0" w:color="auto"/>
        <w:left w:val="none" w:sz="0" w:space="0" w:color="auto"/>
        <w:bottom w:val="none" w:sz="0" w:space="0" w:color="auto"/>
        <w:right w:val="none" w:sz="0" w:space="0" w:color="auto"/>
      </w:divBdr>
    </w:div>
    <w:div w:id="14961850">
      <w:bodyDiv w:val="1"/>
      <w:marLeft w:val="0"/>
      <w:marRight w:val="0"/>
      <w:marTop w:val="0"/>
      <w:marBottom w:val="0"/>
      <w:divBdr>
        <w:top w:val="none" w:sz="0" w:space="0" w:color="auto"/>
        <w:left w:val="none" w:sz="0" w:space="0" w:color="auto"/>
        <w:bottom w:val="none" w:sz="0" w:space="0" w:color="auto"/>
        <w:right w:val="none" w:sz="0" w:space="0" w:color="auto"/>
      </w:divBdr>
      <w:divsChild>
        <w:div w:id="1325664437">
          <w:marLeft w:val="0"/>
          <w:marRight w:val="0"/>
          <w:marTop w:val="0"/>
          <w:marBottom w:val="0"/>
          <w:divBdr>
            <w:top w:val="none" w:sz="0" w:space="0" w:color="auto"/>
            <w:left w:val="none" w:sz="0" w:space="0" w:color="auto"/>
            <w:bottom w:val="none" w:sz="0" w:space="0" w:color="auto"/>
            <w:right w:val="none" w:sz="0" w:space="0" w:color="auto"/>
          </w:divBdr>
          <w:divsChild>
            <w:div w:id="1261140779">
              <w:marLeft w:val="0"/>
              <w:marRight w:val="0"/>
              <w:marTop w:val="0"/>
              <w:marBottom w:val="0"/>
              <w:divBdr>
                <w:top w:val="none" w:sz="0" w:space="0" w:color="auto"/>
                <w:left w:val="none" w:sz="0" w:space="0" w:color="auto"/>
                <w:bottom w:val="none" w:sz="0" w:space="0" w:color="auto"/>
                <w:right w:val="none" w:sz="0" w:space="0" w:color="auto"/>
              </w:divBdr>
              <w:divsChild>
                <w:div w:id="16507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9843">
      <w:bodyDiv w:val="1"/>
      <w:marLeft w:val="0"/>
      <w:marRight w:val="0"/>
      <w:marTop w:val="0"/>
      <w:marBottom w:val="0"/>
      <w:divBdr>
        <w:top w:val="none" w:sz="0" w:space="0" w:color="auto"/>
        <w:left w:val="none" w:sz="0" w:space="0" w:color="auto"/>
        <w:bottom w:val="none" w:sz="0" w:space="0" w:color="auto"/>
        <w:right w:val="none" w:sz="0" w:space="0" w:color="auto"/>
      </w:divBdr>
    </w:div>
    <w:div w:id="75976240">
      <w:bodyDiv w:val="1"/>
      <w:marLeft w:val="0"/>
      <w:marRight w:val="0"/>
      <w:marTop w:val="0"/>
      <w:marBottom w:val="0"/>
      <w:divBdr>
        <w:top w:val="none" w:sz="0" w:space="0" w:color="auto"/>
        <w:left w:val="none" w:sz="0" w:space="0" w:color="auto"/>
        <w:bottom w:val="none" w:sz="0" w:space="0" w:color="auto"/>
        <w:right w:val="none" w:sz="0" w:space="0" w:color="auto"/>
      </w:divBdr>
      <w:divsChild>
        <w:div w:id="2136096015">
          <w:marLeft w:val="0"/>
          <w:marRight w:val="0"/>
          <w:marTop w:val="0"/>
          <w:marBottom w:val="0"/>
          <w:divBdr>
            <w:top w:val="none" w:sz="0" w:space="0" w:color="auto"/>
            <w:left w:val="none" w:sz="0" w:space="0" w:color="auto"/>
            <w:bottom w:val="none" w:sz="0" w:space="0" w:color="auto"/>
            <w:right w:val="none" w:sz="0" w:space="0" w:color="auto"/>
          </w:divBdr>
          <w:divsChild>
            <w:div w:id="426849710">
              <w:marLeft w:val="0"/>
              <w:marRight w:val="0"/>
              <w:marTop w:val="0"/>
              <w:marBottom w:val="0"/>
              <w:divBdr>
                <w:top w:val="none" w:sz="0" w:space="0" w:color="auto"/>
                <w:left w:val="none" w:sz="0" w:space="0" w:color="auto"/>
                <w:bottom w:val="none" w:sz="0" w:space="0" w:color="auto"/>
                <w:right w:val="none" w:sz="0" w:space="0" w:color="auto"/>
              </w:divBdr>
              <w:divsChild>
                <w:div w:id="13461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4848">
      <w:bodyDiv w:val="1"/>
      <w:marLeft w:val="0"/>
      <w:marRight w:val="0"/>
      <w:marTop w:val="0"/>
      <w:marBottom w:val="0"/>
      <w:divBdr>
        <w:top w:val="none" w:sz="0" w:space="0" w:color="auto"/>
        <w:left w:val="none" w:sz="0" w:space="0" w:color="auto"/>
        <w:bottom w:val="none" w:sz="0" w:space="0" w:color="auto"/>
        <w:right w:val="none" w:sz="0" w:space="0" w:color="auto"/>
      </w:divBdr>
      <w:divsChild>
        <w:div w:id="1117020681">
          <w:marLeft w:val="0"/>
          <w:marRight w:val="0"/>
          <w:marTop w:val="0"/>
          <w:marBottom w:val="0"/>
          <w:divBdr>
            <w:top w:val="none" w:sz="0" w:space="0" w:color="auto"/>
            <w:left w:val="none" w:sz="0" w:space="0" w:color="auto"/>
            <w:bottom w:val="none" w:sz="0" w:space="0" w:color="auto"/>
            <w:right w:val="none" w:sz="0" w:space="0" w:color="auto"/>
          </w:divBdr>
          <w:divsChild>
            <w:div w:id="795175028">
              <w:marLeft w:val="0"/>
              <w:marRight w:val="0"/>
              <w:marTop w:val="0"/>
              <w:marBottom w:val="0"/>
              <w:divBdr>
                <w:top w:val="none" w:sz="0" w:space="0" w:color="auto"/>
                <w:left w:val="none" w:sz="0" w:space="0" w:color="auto"/>
                <w:bottom w:val="none" w:sz="0" w:space="0" w:color="auto"/>
                <w:right w:val="none" w:sz="0" w:space="0" w:color="auto"/>
              </w:divBdr>
              <w:divsChild>
                <w:div w:id="4516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2696">
      <w:bodyDiv w:val="1"/>
      <w:marLeft w:val="0"/>
      <w:marRight w:val="0"/>
      <w:marTop w:val="0"/>
      <w:marBottom w:val="0"/>
      <w:divBdr>
        <w:top w:val="none" w:sz="0" w:space="0" w:color="auto"/>
        <w:left w:val="none" w:sz="0" w:space="0" w:color="auto"/>
        <w:bottom w:val="none" w:sz="0" w:space="0" w:color="auto"/>
        <w:right w:val="none" w:sz="0" w:space="0" w:color="auto"/>
      </w:divBdr>
    </w:div>
    <w:div w:id="259221011">
      <w:bodyDiv w:val="1"/>
      <w:marLeft w:val="0"/>
      <w:marRight w:val="0"/>
      <w:marTop w:val="0"/>
      <w:marBottom w:val="0"/>
      <w:divBdr>
        <w:top w:val="none" w:sz="0" w:space="0" w:color="auto"/>
        <w:left w:val="none" w:sz="0" w:space="0" w:color="auto"/>
        <w:bottom w:val="none" w:sz="0" w:space="0" w:color="auto"/>
        <w:right w:val="none" w:sz="0" w:space="0" w:color="auto"/>
      </w:divBdr>
    </w:div>
    <w:div w:id="366874266">
      <w:bodyDiv w:val="1"/>
      <w:marLeft w:val="0"/>
      <w:marRight w:val="0"/>
      <w:marTop w:val="0"/>
      <w:marBottom w:val="0"/>
      <w:divBdr>
        <w:top w:val="none" w:sz="0" w:space="0" w:color="auto"/>
        <w:left w:val="none" w:sz="0" w:space="0" w:color="auto"/>
        <w:bottom w:val="none" w:sz="0" w:space="0" w:color="auto"/>
        <w:right w:val="none" w:sz="0" w:space="0" w:color="auto"/>
      </w:divBdr>
      <w:divsChild>
        <w:div w:id="781806580">
          <w:marLeft w:val="0"/>
          <w:marRight w:val="0"/>
          <w:marTop w:val="0"/>
          <w:marBottom w:val="0"/>
          <w:divBdr>
            <w:top w:val="none" w:sz="0" w:space="0" w:color="auto"/>
            <w:left w:val="none" w:sz="0" w:space="0" w:color="auto"/>
            <w:bottom w:val="none" w:sz="0" w:space="0" w:color="auto"/>
            <w:right w:val="none" w:sz="0" w:space="0" w:color="auto"/>
          </w:divBdr>
          <w:divsChild>
            <w:div w:id="183179814">
              <w:marLeft w:val="0"/>
              <w:marRight w:val="0"/>
              <w:marTop w:val="0"/>
              <w:marBottom w:val="0"/>
              <w:divBdr>
                <w:top w:val="none" w:sz="0" w:space="0" w:color="auto"/>
                <w:left w:val="none" w:sz="0" w:space="0" w:color="auto"/>
                <w:bottom w:val="none" w:sz="0" w:space="0" w:color="auto"/>
                <w:right w:val="none" w:sz="0" w:space="0" w:color="auto"/>
              </w:divBdr>
              <w:divsChild>
                <w:div w:id="3707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5806">
      <w:bodyDiv w:val="1"/>
      <w:marLeft w:val="0"/>
      <w:marRight w:val="0"/>
      <w:marTop w:val="0"/>
      <w:marBottom w:val="0"/>
      <w:divBdr>
        <w:top w:val="none" w:sz="0" w:space="0" w:color="auto"/>
        <w:left w:val="none" w:sz="0" w:space="0" w:color="auto"/>
        <w:bottom w:val="none" w:sz="0" w:space="0" w:color="auto"/>
        <w:right w:val="none" w:sz="0" w:space="0" w:color="auto"/>
      </w:divBdr>
    </w:div>
    <w:div w:id="572929446">
      <w:bodyDiv w:val="1"/>
      <w:marLeft w:val="0"/>
      <w:marRight w:val="0"/>
      <w:marTop w:val="0"/>
      <w:marBottom w:val="0"/>
      <w:divBdr>
        <w:top w:val="none" w:sz="0" w:space="0" w:color="auto"/>
        <w:left w:val="none" w:sz="0" w:space="0" w:color="auto"/>
        <w:bottom w:val="none" w:sz="0" w:space="0" w:color="auto"/>
        <w:right w:val="none" w:sz="0" w:space="0" w:color="auto"/>
      </w:divBdr>
    </w:div>
    <w:div w:id="700857636">
      <w:bodyDiv w:val="1"/>
      <w:marLeft w:val="0"/>
      <w:marRight w:val="0"/>
      <w:marTop w:val="0"/>
      <w:marBottom w:val="0"/>
      <w:divBdr>
        <w:top w:val="none" w:sz="0" w:space="0" w:color="auto"/>
        <w:left w:val="none" w:sz="0" w:space="0" w:color="auto"/>
        <w:bottom w:val="none" w:sz="0" w:space="0" w:color="auto"/>
        <w:right w:val="none" w:sz="0" w:space="0" w:color="auto"/>
      </w:divBdr>
    </w:div>
    <w:div w:id="802043387">
      <w:bodyDiv w:val="1"/>
      <w:marLeft w:val="0"/>
      <w:marRight w:val="0"/>
      <w:marTop w:val="0"/>
      <w:marBottom w:val="0"/>
      <w:divBdr>
        <w:top w:val="none" w:sz="0" w:space="0" w:color="auto"/>
        <w:left w:val="none" w:sz="0" w:space="0" w:color="auto"/>
        <w:bottom w:val="none" w:sz="0" w:space="0" w:color="auto"/>
        <w:right w:val="none" w:sz="0" w:space="0" w:color="auto"/>
      </w:divBdr>
    </w:div>
    <w:div w:id="1018656945">
      <w:bodyDiv w:val="1"/>
      <w:marLeft w:val="0"/>
      <w:marRight w:val="0"/>
      <w:marTop w:val="0"/>
      <w:marBottom w:val="0"/>
      <w:divBdr>
        <w:top w:val="none" w:sz="0" w:space="0" w:color="auto"/>
        <w:left w:val="none" w:sz="0" w:space="0" w:color="auto"/>
        <w:bottom w:val="none" w:sz="0" w:space="0" w:color="auto"/>
        <w:right w:val="none" w:sz="0" w:space="0" w:color="auto"/>
      </w:divBdr>
    </w:div>
    <w:div w:id="1036737745">
      <w:bodyDiv w:val="1"/>
      <w:marLeft w:val="0"/>
      <w:marRight w:val="0"/>
      <w:marTop w:val="0"/>
      <w:marBottom w:val="0"/>
      <w:divBdr>
        <w:top w:val="none" w:sz="0" w:space="0" w:color="auto"/>
        <w:left w:val="none" w:sz="0" w:space="0" w:color="auto"/>
        <w:bottom w:val="none" w:sz="0" w:space="0" w:color="auto"/>
        <w:right w:val="none" w:sz="0" w:space="0" w:color="auto"/>
      </w:divBdr>
    </w:div>
    <w:div w:id="1084835169">
      <w:bodyDiv w:val="1"/>
      <w:marLeft w:val="0"/>
      <w:marRight w:val="0"/>
      <w:marTop w:val="0"/>
      <w:marBottom w:val="0"/>
      <w:divBdr>
        <w:top w:val="none" w:sz="0" w:space="0" w:color="auto"/>
        <w:left w:val="none" w:sz="0" w:space="0" w:color="auto"/>
        <w:bottom w:val="none" w:sz="0" w:space="0" w:color="auto"/>
        <w:right w:val="none" w:sz="0" w:space="0" w:color="auto"/>
      </w:divBdr>
    </w:div>
    <w:div w:id="1111440994">
      <w:bodyDiv w:val="1"/>
      <w:marLeft w:val="0"/>
      <w:marRight w:val="0"/>
      <w:marTop w:val="0"/>
      <w:marBottom w:val="0"/>
      <w:divBdr>
        <w:top w:val="none" w:sz="0" w:space="0" w:color="auto"/>
        <w:left w:val="none" w:sz="0" w:space="0" w:color="auto"/>
        <w:bottom w:val="none" w:sz="0" w:space="0" w:color="auto"/>
        <w:right w:val="none" w:sz="0" w:space="0" w:color="auto"/>
      </w:divBdr>
      <w:divsChild>
        <w:div w:id="388385699">
          <w:marLeft w:val="0"/>
          <w:marRight w:val="0"/>
          <w:marTop w:val="0"/>
          <w:marBottom w:val="0"/>
          <w:divBdr>
            <w:top w:val="none" w:sz="0" w:space="0" w:color="auto"/>
            <w:left w:val="none" w:sz="0" w:space="0" w:color="auto"/>
            <w:bottom w:val="none" w:sz="0" w:space="0" w:color="auto"/>
            <w:right w:val="none" w:sz="0" w:space="0" w:color="auto"/>
          </w:divBdr>
          <w:divsChild>
            <w:div w:id="1855680484">
              <w:marLeft w:val="0"/>
              <w:marRight w:val="0"/>
              <w:marTop w:val="0"/>
              <w:marBottom w:val="0"/>
              <w:divBdr>
                <w:top w:val="none" w:sz="0" w:space="0" w:color="auto"/>
                <w:left w:val="none" w:sz="0" w:space="0" w:color="auto"/>
                <w:bottom w:val="none" w:sz="0" w:space="0" w:color="auto"/>
                <w:right w:val="none" w:sz="0" w:space="0" w:color="auto"/>
              </w:divBdr>
              <w:divsChild>
                <w:div w:id="1484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8821">
      <w:bodyDiv w:val="1"/>
      <w:marLeft w:val="0"/>
      <w:marRight w:val="0"/>
      <w:marTop w:val="0"/>
      <w:marBottom w:val="0"/>
      <w:divBdr>
        <w:top w:val="none" w:sz="0" w:space="0" w:color="auto"/>
        <w:left w:val="none" w:sz="0" w:space="0" w:color="auto"/>
        <w:bottom w:val="none" w:sz="0" w:space="0" w:color="auto"/>
        <w:right w:val="none" w:sz="0" w:space="0" w:color="auto"/>
      </w:divBdr>
    </w:div>
    <w:div w:id="1430352482">
      <w:bodyDiv w:val="1"/>
      <w:marLeft w:val="0"/>
      <w:marRight w:val="0"/>
      <w:marTop w:val="0"/>
      <w:marBottom w:val="0"/>
      <w:divBdr>
        <w:top w:val="none" w:sz="0" w:space="0" w:color="auto"/>
        <w:left w:val="none" w:sz="0" w:space="0" w:color="auto"/>
        <w:bottom w:val="none" w:sz="0" w:space="0" w:color="auto"/>
        <w:right w:val="none" w:sz="0" w:space="0" w:color="auto"/>
      </w:divBdr>
    </w:div>
    <w:div w:id="1450709118">
      <w:bodyDiv w:val="1"/>
      <w:marLeft w:val="0"/>
      <w:marRight w:val="0"/>
      <w:marTop w:val="0"/>
      <w:marBottom w:val="0"/>
      <w:divBdr>
        <w:top w:val="none" w:sz="0" w:space="0" w:color="auto"/>
        <w:left w:val="none" w:sz="0" w:space="0" w:color="auto"/>
        <w:bottom w:val="none" w:sz="0" w:space="0" w:color="auto"/>
        <w:right w:val="none" w:sz="0" w:space="0" w:color="auto"/>
      </w:divBdr>
    </w:div>
    <w:div w:id="1465006358">
      <w:bodyDiv w:val="1"/>
      <w:marLeft w:val="0"/>
      <w:marRight w:val="0"/>
      <w:marTop w:val="0"/>
      <w:marBottom w:val="0"/>
      <w:divBdr>
        <w:top w:val="none" w:sz="0" w:space="0" w:color="auto"/>
        <w:left w:val="none" w:sz="0" w:space="0" w:color="auto"/>
        <w:bottom w:val="none" w:sz="0" w:space="0" w:color="auto"/>
        <w:right w:val="none" w:sz="0" w:space="0" w:color="auto"/>
      </w:divBdr>
      <w:divsChild>
        <w:div w:id="936984105">
          <w:marLeft w:val="0"/>
          <w:marRight w:val="0"/>
          <w:marTop w:val="0"/>
          <w:marBottom w:val="0"/>
          <w:divBdr>
            <w:top w:val="none" w:sz="0" w:space="0" w:color="auto"/>
            <w:left w:val="none" w:sz="0" w:space="0" w:color="auto"/>
            <w:bottom w:val="none" w:sz="0" w:space="0" w:color="auto"/>
            <w:right w:val="none" w:sz="0" w:space="0" w:color="auto"/>
          </w:divBdr>
          <w:divsChild>
            <w:div w:id="537275213">
              <w:marLeft w:val="0"/>
              <w:marRight w:val="0"/>
              <w:marTop w:val="0"/>
              <w:marBottom w:val="0"/>
              <w:divBdr>
                <w:top w:val="none" w:sz="0" w:space="0" w:color="auto"/>
                <w:left w:val="none" w:sz="0" w:space="0" w:color="auto"/>
                <w:bottom w:val="none" w:sz="0" w:space="0" w:color="auto"/>
                <w:right w:val="none" w:sz="0" w:space="0" w:color="auto"/>
              </w:divBdr>
              <w:divsChild>
                <w:div w:id="92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4749">
      <w:bodyDiv w:val="1"/>
      <w:marLeft w:val="0"/>
      <w:marRight w:val="0"/>
      <w:marTop w:val="0"/>
      <w:marBottom w:val="0"/>
      <w:divBdr>
        <w:top w:val="none" w:sz="0" w:space="0" w:color="auto"/>
        <w:left w:val="none" w:sz="0" w:space="0" w:color="auto"/>
        <w:bottom w:val="none" w:sz="0" w:space="0" w:color="auto"/>
        <w:right w:val="none" w:sz="0" w:space="0" w:color="auto"/>
      </w:divBdr>
    </w:div>
    <w:div w:id="1486892074">
      <w:bodyDiv w:val="1"/>
      <w:marLeft w:val="0"/>
      <w:marRight w:val="0"/>
      <w:marTop w:val="0"/>
      <w:marBottom w:val="0"/>
      <w:divBdr>
        <w:top w:val="none" w:sz="0" w:space="0" w:color="auto"/>
        <w:left w:val="none" w:sz="0" w:space="0" w:color="auto"/>
        <w:bottom w:val="none" w:sz="0" w:space="0" w:color="auto"/>
        <w:right w:val="none" w:sz="0" w:space="0" w:color="auto"/>
      </w:divBdr>
    </w:div>
    <w:div w:id="1609392474">
      <w:bodyDiv w:val="1"/>
      <w:marLeft w:val="0"/>
      <w:marRight w:val="0"/>
      <w:marTop w:val="0"/>
      <w:marBottom w:val="0"/>
      <w:divBdr>
        <w:top w:val="none" w:sz="0" w:space="0" w:color="auto"/>
        <w:left w:val="none" w:sz="0" w:space="0" w:color="auto"/>
        <w:bottom w:val="none" w:sz="0" w:space="0" w:color="auto"/>
        <w:right w:val="none" w:sz="0" w:space="0" w:color="auto"/>
      </w:divBdr>
    </w:div>
    <w:div w:id="1620257855">
      <w:bodyDiv w:val="1"/>
      <w:marLeft w:val="0"/>
      <w:marRight w:val="0"/>
      <w:marTop w:val="0"/>
      <w:marBottom w:val="0"/>
      <w:divBdr>
        <w:top w:val="none" w:sz="0" w:space="0" w:color="auto"/>
        <w:left w:val="none" w:sz="0" w:space="0" w:color="auto"/>
        <w:bottom w:val="none" w:sz="0" w:space="0" w:color="auto"/>
        <w:right w:val="none" w:sz="0" w:space="0" w:color="auto"/>
      </w:divBdr>
      <w:divsChild>
        <w:div w:id="1627269679">
          <w:marLeft w:val="0"/>
          <w:marRight w:val="0"/>
          <w:marTop w:val="0"/>
          <w:marBottom w:val="0"/>
          <w:divBdr>
            <w:top w:val="none" w:sz="0" w:space="0" w:color="auto"/>
            <w:left w:val="none" w:sz="0" w:space="0" w:color="auto"/>
            <w:bottom w:val="none" w:sz="0" w:space="0" w:color="auto"/>
            <w:right w:val="none" w:sz="0" w:space="0" w:color="auto"/>
          </w:divBdr>
          <w:divsChild>
            <w:div w:id="1699768870">
              <w:marLeft w:val="0"/>
              <w:marRight w:val="0"/>
              <w:marTop w:val="0"/>
              <w:marBottom w:val="0"/>
              <w:divBdr>
                <w:top w:val="none" w:sz="0" w:space="0" w:color="auto"/>
                <w:left w:val="none" w:sz="0" w:space="0" w:color="auto"/>
                <w:bottom w:val="none" w:sz="0" w:space="0" w:color="auto"/>
                <w:right w:val="none" w:sz="0" w:space="0" w:color="auto"/>
              </w:divBdr>
              <w:divsChild>
                <w:div w:id="169758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68617">
      <w:bodyDiv w:val="1"/>
      <w:marLeft w:val="0"/>
      <w:marRight w:val="0"/>
      <w:marTop w:val="0"/>
      <w:marBottom w:val="0"/>
      <w:divBdr>
        <w:top w:val="none" w:sz="0" w:space="0" w:color="auto"/>
        <w:left w:val="none" w:sz="0" w:space="0" w:color="auto"/>
        <w:bottom w:val="none" w:sz="0" w:space="0" w:color="auto"/>
        <w:right w:val="none" w:sz="0" w:space="0" w:color="auto"/>
      </w:divBdr>
    </w:div>
    <w:div w:id="1744522553">
      <w:bodyDiv w:val="1"/>
      <w:marLeft w:val="0"/>
      <w:marRight w:val="0"/>
      <w:marTop w:val="0"/>
      <w:marBottom w:val="0"/>
      <w:divBdr>
        <w:top w:val="none" w:sz="0" w:space="0" w:color="auto"/>
        <w:left w:val="none" w:sz="0" w:space="0" w:color="auto"/>
        <w:bottom w:val="none" w:sz="0" w:space="0" w:color="auto"/>
        <w:right w:val="none" w:sz="0" w:space="0" w:color="auto"/>
      </w:divBdr>
    </w:div>
    <w:div w:id="1784155613">
      <w:bodyDiv w:val="1"/>
      <w:marLeft w:val="0"/>
      <w:marRight w:val="0"/>
      <w:marTop w:val="0"/>
      <w:marBottom w:val="0"/>
      <w:divBdr>
        <w:top w:val="none" w:sz="0" w:space="0" w:color="auto"/>
        <w:left w:val="none" w:sz="0" w:space="0" w:color="auto"/>
        <w:bottom w:val="none" w:sz="0" w:space="0" w:color="auto"/>
        <w:right w:val="none" w:sz="0" w:space="0" w:color="auto"/>
      </w:divBdr>
    </w:div>
    <w:div w:id="1865746694">
      <w:bodyDiv w:val="1"/>
      <w:marLeft w:val="0"/>
      <w:marRight w:val="0"/>
      <w:marTop w:val="0"/>
      <w:marBottom w:val="0"/>
      <w:divBdr>
        <w:top w:val="none" w:sz="0" w:space="0" w:color="auto"/>
        <w:left w:val="none" w:sz="0" w:space="0" w:color="auto"/>
        <w:bottom w:val="none" w:sz="0" w:space="0" w:color="auto"/>
        <w:right w:val="none" w:sz="0" w:space="0" w:color="auto"/>
      </w:divBdr>
    </w:div>
    <w:div w:id="1875724871">
      <w:bodyDiv w:val="1"/>
      <w:marLeft w:val="0"/>
      <w:marRight w:val="0"/>
      <w:marTop w:val="0"/>
      <w:marBottom w:val="0"/>
      <w:divBdr>
        <w:top w:val="none" w:sz="0" w:space="0" w:color="auto"/>
        <w:left w:val="none" w:sz="0" w:space="0" w:color="auto"/>
        <w:bottom w:val="none" w:sz="0" w:space="0" w:color="auto"/>
        <w:right w:val="none" w:sz="0" w:space="0" w:color="auto"/>
      </w:divBdr>
    </w:div>
    <w:div w:id="1949658504">
      <w:bodyDiv w:val="1"/>
      <w:marLeft w:val="0"/>
      <w:marRight w:val="0"/>
      <w:marTop w:val="0"/>
      <w:marBottom w:val="0"/>
      <w:divBdr>
        <w:top w:val="none" w:sz="0" w:space="0" w:color="auto"/>
        <w:left w:val="none" w:sz="0" w:space="0" w:color="auto"/>
        <w:bottom w:val="none" w:sz="0" w:space="0" w:color="auto"/>
        <w:right w:val="none" w:sz="0" w:space="0" w:color="auto"/>
      </w:divBdr>
      <w:divsChild>
        <w:div w:id="743799823">
          <w:marLeft w:val="0"/>
          <w:marRight w:val="0"/>
          <w:marTop w:val="0"/>
          <w:marBottom w:val="0"/>
          <w:divBdr>
            <w:top w:val="none" w:sz="0" w:space="0" w:color="auto"/>
            <w:left w:val="none" w:sz="0" w:space="0" w:color="auto"/>
            <w:bottom w:val="none" w:sz="0" w:space="0" w:color="auto"/>
            <w:right w:val="none" w:sz="0" w:space="0" w:color="auto"/>
          </w:divBdr>
          <w:divsChild>
            <w:div w:id="1079525278">
              <w:marLeft w:val="0"/>
              <w:marRight w:val="0"/>
              <w:marTop w:val="0"/>
              <w:marBottom w:val="0"/>
              <w:divBdr>
                <w:top w:val="none" w:sz="0" w:space="0" w:color="auto"/>
                <w:left w:val="none" w:sz="0" w:space="0" w:color="auto"/>
                <w:bottom w:val="none" w:sz="0" w:space="0" w:color="auto"/>
                <w:right w:val="none" w:sz="0" w:space="0" w:color="auto"/>
              </w:divBdr>
              <w:divsChild>
                <w:div w:id="30431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3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56143/ASB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ansfo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97e30698815ca33c96a37bbb2f81878b">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f1a026b622ccb2e86f69531219e47cb9"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3579-0FBD-44DD-9C52-A9A52555D2E6}">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2.xml><?xml version="1.0" encoding="utf-8"?>
<ds:datastoreItem xmlns:ds="http://schemas.openxmlformats.org/officeDocument/2006/customXml" ds:itemID="{9BEB8153-A774-4F1D-8F68-17E9D6CB630F}">
  <ds:schemaRefs>
    <ds:schemaRef ds:uri="http://schemas.microsoft.com/sharepoint/v3/contenttype/forms"/>
  </ds:schemaRefs>
</ds:datastoreItem>
</file>

<file path=customXml/itemProps3.xml><?xml version="1.0" encoding="utf-8"?>
<ds:datastoreItem xmlns:ds="http://schemas.openxmlformats.org/officeDocument/2006/customXml" ds:itemID="{96D444C9-687B-4B4B-B80A-A22CBBB5A738}"/>
</file>

<file path=customXml/itemProps4.xml><?xml version="1.0" encoding="utf-8"?>
<ds:datastoreItem xmlns:ds="http://schemas.openxmlformats.org/officeDocument/2006/customXml" ds:itemID="{0B7BCAD9-77DB-45C7-ABD0-3DFDE36D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3501</Words>
  <Characters>19958</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Walker Izard</Company>
  <LinksUpToDate>false</LinksUpToDate>
  <CharactersWithSpaces>23413</CharactersWithSpaces>
  <SharedDoc>false</SharedDoc>
  <HLinks>
    <vt:vector size="294" baseType="variant">
      <vt:variant>
        <vt:i4>5505137</vt:i4>
      </vt:variant>
      <vt:variant>
        <vt:i4>375</vt:i4>
      </vt:variant>
      <vt:variant>
        <vt:i4>0</vt:i4>
      </vt:variant>
      <vt:variant>
        <vt:i4>5</vt:i4>
      </vt:variant>
      <vt:variant>
        <vt:lpwstr>https://england.shelter.org.uk/legal/possession_proceedings_and_eviction/assured_and_assured_shorthold_tenancies/mandatory_grounds_assured_tenancies</vt:lpwstr>
      </vt:variant>
      <vt:variant>
        <vt:lpwstr>_edn13</vt:lpwstr>
      </vt:variant>
      <vt:variant>
        <vt:i4>6946900</vt:i4>
      </vt:variant>
      <vt:variant>
        <vt:i4>372</vt:i4>
      </vt:variant>
      <vt:variant>
        <vt:i4>0</vt:i4>
      </vt:variant>
      <vt:variant>
        <vt:i4>5</vt:i4>
      </vt:variant>
      <vt:variant>
        <vt:lpwstr>https://england.shelter.org.uk/legal/housing_options/private_rented_accommodation/right_to_rent_immigration_checks</vt:lpwstr>
      </vt:variant>
      <vt:variant>
        <vt:lpwstr/>
      </vt:variant>
      <vt:variant>
        <vt:i4>4718653</vt:i4>
      </vt:variant>
      <vt:variant>
        <vt:i4>369</vt:i4>
      </vt:variant>
      <vt:variant>
        <vt:i4>0</vt:i4>
      </vt:variant>
      <vt:variant>
        <vt:i4>5</vt:i4>
      </vt:variant>
      <vt:variant>
        <vt:lpwstr>mailto:medwards@transformhousing.org.uk</vt:lpwstr>
      </vt:variant>
      <vt:variant>
        <vt:lpwstr/>
      </vt:variant>
      <vt:variant>
        <vt:i4>6815752</vt:i4>
      </vt:variant>
      <vt:variant>
        <vt:i4>366</vt:i4>
      </vt:variant>
      <vt:variant>
        <vt:i4>0</vt:i4>
      </vt:variant>
      <vt:variant>
        <vt:i4>5</vt:i4>
      </vt:variant>
      <vt:variant>
        <vt:lpwstr>mailto:gsteers@transformhousing.org.uk</vt:lpwstr>
      </vt:variant>
      <vt:variant>
        <vt:lpwstr/>
      </vt:variant>
      <vt:variant>
        <vt:i4>3801151</vt:i4>
      </vt:variant>
      <vt:variant>
        <vt:i4>258</vt:i4>
      </vt:variant>
      <vt:variant>
        <vt:i4>0</vt:i4>
      </vt:variant>
      <vt:variant>
        <vt:i4>5</vt:i4>
      </vt:variant>
      <vt:variant>
        <vt:lpwstr>http://www.gov/</vt:lpwstr>
      </vt:variant>
      <vt:variant>
        <vt:lpwstr/>
      </vt:variant>
      <vt:variant>
        <vt:i4>3801151</vt:i4>
      </vt:variant>
      <vt:variant>
        <vt:i4>255</vt:i4>
      </vt:variant>
      <vt:variant>
        <vt:i4>0</vt:i4>
      </vt:variant>
      <vt:variant>
        <vt:i4>5</vt:i4>
      </vt:variant>
      <vt:variant>
        <vt:lpwstr>http://www.gov/</vt:lpwstr>
      </vt:variant>
      <vt:variant>
        <vt:lpwstr/>
      </vt:variant>
      <vt:variant>
        <vt:i4>3801151</vt:i4>
      </vt:variant>
      <vt:variant>
        <vt:i4>246</vt:i4>
      </vt:variant>
      <vt:variant>
        <vt:i4>0</vt:i4>
      </vt:variant>
      <vt:variant>
        <vt:i4>5</vt:i4>
      </vt:variant>
      <vt:variant>
        <vt:lpwstr>http://www.gov/</vt:lpwstr>
      </vt:variant>
      <vt:variant>
        <vt:lpwstr/>
      </vt:variant>
      <vt:variant>
        <vt:i4>1769531</vt:i4>
      </vt:variant>
      <vt:variant>
        <vt:i4>236</vt:i4>
      </vt:variant>
      <vt:variant>
        <vt:i4>0</vt:i4>
      </vt:variant>
      <vt:variant>
        <vt:i4>5</vt:i4>
      </vt:variant>
      <vt:variant>
        <vt:lpwstr/>
      </vt:variant>
      <vt:variant>
        <vt:lpwstr>_Toc77169845</vt:lpwstr>
      </vt:variant>
      <vt:variant>
        <vt:i4>1703995</vt:i4>
      </vt:variant>
      <vt:variant>
        <vt:i4>230</vt:i4>
      </vt:variant>
      <vt:variant>
        <vt:i4>0</vt:i4>
      </vt:variant>
      <vt:variant>
        <vt:i4>5</vt:i4>
      </vt:variant>
      <vt:variant>
        <vt:lpwstr/>
      </vt:variant>
      <vt:variant>
        <vt:lpwstr>_Toc77169844</vt:lpwstr>
      </vt:variant>
      <vt:variant>
        <vt:i4>1900603</vt:i4>
      </vt:variant>
      <vt:variant>
        <vt:i4>224</vt:i4>
      </vt:variant>
      <vt:variant>
        <vt:i4>0</vt:i4>
      </vt:variant>
      <vt:variant>
        <vt:i4>5</vt:i4>
      </vt:variant>
      <vt:variant>
        <vt:lpwstr/>
      </vt:variant>
      <vt:variant>
        <vt:lpwstr>_Toc77169843</vt:lpwstr>
      </vt:variant>
      <vt:variant>
        <vt:i4>1835067</vt:i4>
      </vt:variant>
      <vt:variant>
        <vt:i4>218</vt:i4>
      </vt:variant>
      <vt:variant>
        <vt:i4>0</vt:i4>
      </vt:variant>
      <vt:variant>
        <vt:i4>5</vt:i4>
      </vt:variant>
      <vt:variant>
        <vt:lpwstr/>
      </vt:variant>
      <vt:variant>
        <vt:lpwstr>_Toc77169842</vt:lpwstr>
      </vt:variant>
      <vt:variant>
        <vt:i4>2031675</vt:i4>
      </vt:variant>
      <vt:variant>
        <vt:i4>212</vt:i4>
      </vt:variant>
      <vt:variant>
        <vt:i4>0</vt:i4>
      </vt:variant>
      <vt:variant>
        <vt:i4>5</vt:i4>
      </vt:variant>
      <vt:variant>
        <vt:lpwstr/>
      </vt:variant>
      <vt:variant>
        <vt:lpwstr>_Toc77169841</vt:lpwstr>
      </vt:variant>
      <vt:variant>
        <vt:i4>1966139</vt:i4>
      </vt:variant>
      <vt:variant>
        <vt:i4>206</vt:i4>
      </vt:variant>
      <vt:variant>
        <vt:i4>0</vt:i4>
      </vt:variant>
      <vt:variant>
        <vt:i4>5</vt:i4>
      </vt:variant>
      <vt:variant>
        <vt:lpwstr/>
      </vt:variant>
      <vt:variant>
        <vt:lpwstr>_Toc77169840</vt:lpwstr>
      </vt:variant>
      <vt:variant>
        <vt:i4>1507388</vt:i4>
      </vt:variant>
      <vt:variant>
        <vt:i4>200</vt:i4>
      </vt:variant>
      <vt:variant>
        <vt:i4>0</vt:i4>
      </vt:variant>
      <vt:variant>
        <vt:i4>5</vt:i4>
      </vt:variant>
      <vt:variant>
        <vt:lpwstr/>
      </vt:variant>
      <vt:variant>
        <vt:lpwstr>_Toc77169839</vt:lpwstr>
      </vt:variant>
      <vt:variant>
        <vt:i4>1441852</vt:i4>
      </vt:variant>
      <vt:variant>
        <vt:i4>194</vt:i4>
      </vt:variant>
      <vt:variant>
        <vt:i4>0</vt:i4>
      </vt:variant>
      <vt:variant>
        <vt:i4>5</vt:i4>
      </vt:variant>
      <vt:variant>
        <vt:lpwstr/>
      </vt:variant>
      <vt:variant>
        <vt:lpwstr>_Toc77169838</vt:lpwstr>
      </vt:variant>
      <vt:variant>
        <vt:i4>1638460</vt:i4>
      </vt:variant>
      <vt:variant>
        <vt:i4>188</vt:i4>
      </vt:variant>
      <vt:variant>
        <vt:i4>0</vt:i4>
      </vt:variant>
      <vt:variant>
        <vt:i4>5</vt:i4>
      </vt:variant>
      <vt:variant>
        <vt:lpwstr/>
      </vt:variant>
      <vt:variant>
        <vt:lpwstr>_Toc77169837</vt:lpwstr>
      </vt:variant>
      <vt:variant>
        <vt:i4>1572924</vt:i4>
      </vt:variant>
      <vt:variant>
        <vt:i4>182</vt:i4>
      </vt:variant>
      <vt:variant>
        <vt:i4>0</vt:i4>
      </vt:variant>
      <vt:variant>
        <vt:i4>5</vt:i4>
      </vt:variant>
      <vt:variant>
        <vt:lpwstr/>
      </vt:variant>
      <vt:variant>
        <vt:lpwstr>_Toc77169836</vt:lpwstr>
      </vt:variant>
      <vt:variant>
        <vt:i4>1769532</vt:i4>
      </vt:variant>
      <vt:variant>
        <vt:i4>176</vt:i4>
      </vt:variant>
      <vt:variant>
        <vt:i4>0</vt:i4>
      </vt:variant>
      <vt:variant>
        <vt:i4>5</vt:i4>
      </vt:variant>
      <vt:variant>
        <vt:lpwstr/>
      </vt:variant>
      <vt:variant>
        <vt:lpwstr>_Toc77169835</vt:lpwstr>
      </vt:variant>
      <vt:variant>
        <vt:i4>1703996</vt:i4>
      </vt:variant>
      <vt:variant>
        <vt:i4>170</vt:i4>
      </vt:variant>
      <vt:variant>
        <vt:i4>0</vt:i4>
      </vt:variant>
      <vt:variant>
        <vt:i4>5</vt:i4>
      </vt:variant>
      <vt:variant>
        <vt:lpwstr/>
      </vt:variant>
      <vt:variant>
        <vt:lpwstr>_Toc77169834</vt:lpwstr>
      </vt:variant>
      <vt:variant>
        <vt:i4>1900604</vt:i4>
      </vt:variant>
      <vt:variant>
        <vt:i4>164</vt:i4>
      </vt:variant>
      <vt:variant>
        <vt:i4>0</vt:i4>
      </vt:variant>
      <vt:variant>
        <vt:i4>5</vt:i4>
      </vt:variant>
      <vt:variant>
        <vt:lpwstr/>
      </vt:variant>
      <vt:variant>
        <vt:lpwstr>_Toc77169833</vt:lpwstr>
      </vt:variant>
      <vt:variant>
        <vt:i4>1835068</vt:i4>
      </vt:variant>
      <vt:variant>
        <vt:i4>158</vt:i4>
      </vt:variant>
      <vt:variant>
        <vt:i4>0</vt:i4>
      </vt:variant>
      <vt:variant>
        <vt:i4>5</vt:i4>
      </vt:variant>
      <vt:variant>
        <vt:lpwstr/>
      </vt:variant>
      <vt:variant>
        <vt:lpwstr>_Toc77169832</vt:lpwstr>
      </vt:variant>
      <vt:variant>
        <vt:i4>2031676</vt:i4>
      </vt:variant>
      <vt:variant>
        <vt:i4>152</vt:i4>
      </vt:variant>
      <vt:variant>
        <vt:i4>0</vt:i4>
      </vt:variant>
      <vt:variant>
        <vt:i4>5</vt:i4>
      </vt:variant>
      <vt:variant>
        <vt:lpwstr/>
      </vt:variant>
      <vt:variant>
        <vt:lpwstr>_Toc77169831</vt:lpwstr>
      </vt:variant>
      <vt:variant>
        <vt:i4>1966140</vt:i4>
      </vt:variant>
      <vt:variant>
        <vt:i4>146</vt:i4>
      </vt:variant>
      <vt:variant>
        <vt:i4>0</vt:i4>
      </vt:variant>
      <vt:variant>
        <vt:i4>5</vt:i4>
      </vt:variant>
      <vt:variant>
        <vt:lpwstr/>
      </vt:variant>
      <vt:variant>
        <vt:lpwstr>_Toc77169830</vt:lpwstr>
      </vt:variant>
      <vt:variant>
        <vt:i4>1507389</vt:i4>
      </vt:variant>
      <vt:variant>
        <vt:i4>140</vt:i4>
      </vt:variant>
      <vt:variant>
        <vt:i4>0</vt:i4>
      </vt:variant>
      <vt:variant>
        <vt:i4>5</vt:i4>
      </vt:variant>
      <vt:variant>
        <vt:lpwstr/>
      </vt:variant>
      <vt:variant>
        <vt:lpwstr>_Toc77169829</vt:lpwstr>
      </vt:variant>
      <vt:variant>
        <vt:i4>1441853</vt:i4>
      </vt:variant>
      <vt:variant>
        <vt:i4>134</vt:i4>
      </vt:variant>
      <vt:variant>
        <vt:i4>0</vt:i4>
      </vt:variant>
      <vt:variant>
        <vt:i4>5</vt:i4>
      </vt:variant>
      <vt:variant>
        <vt:lpwstr/>
      </vt:variant>
      <vt:variant>
        <vt:lpwstr>_Toc77169828</vt:lpwstr>
      </vt:variant>
      <vt:variant>
        <vt:i4>1638461</vt:i4>
      </vt:variant>
      <vt:variant>
        <vt:i4>128</vt:i4>
      </vt:variant>
      <vt:variant>
        <vt:i4>0</vt:i4>
      </vt:variant>
      <vt:variant>
        <vt:i4>5</vt:i4>
      </vt:variant>
      <vt:variant>
        <vt:lpwstr/>
      </vt:variant>
      <vt:variant>
        <vt:lpwstr>_Toc77169827</vt:lpwstr>
      </vt:variant>
      <vt:variant>
        <vt:i4>1572925</vt:i4>
      </vt:variant>
      <vt:variant>
        <vt:i4>122</vt:i4>
      </vt:variant>
      <vt:variant>
        <vt:i4>0</vt:i4>
      </vt:variant>
      <vt:variant>
        <vt:i4>5</vt:i4>
      </vt:variant>
      <vt:variant>
        <vt:lpwstr/>
      </vt:variant>
      <vt:variant>
        <vt:lpwstr>_Toc77169826</vt:lpwstr>
      </vt:variant>
      <vt:variant>
        <vt:i4>1769533</vt:i4>
      </vt:variant>
      <vt:variant>
        <vt:i4>116</vt:i4>
      </vt:variant>
      <vt:variant>
        <vt:i4>0</vt:i4>
      </vt:variant>
      <vt:variant>
        <vt:i4>5</vt:i4>
      </vt:variant>
      <vt:variant>
        <vt:lpwstr/>
      </vt:variant>
      <vt:variant>
        <vt:lpwstr>_Toc77169825</vt:lpwstr>
      </vt:variant>
      <vt:variant>
        <vt:i4>1703997</vt:i4>
      </vt:variant>
      <vt:variant>
        <vt:i4>110</vt:i4>
      </vt:variant>
      <vt:variant>
        <vt:i4>0</vt:i4>
      </vt:variant>
      <vt:variant>
        <vt:i4>5</vt:i4>
      </vt:variant>
      <vt:variant>
        <vt:lpwstr/>
      </vt:variant>
      <vt:variant>
        <vt:lpwstr>_Toc77169824</vt:lpwstr>
      </vt:variant>
      <vt:variant>
        <vt:i4>1900605</vt:i4>
      </vt:variant>
      <vt:variant>
        <vt:i4>104</vt:i4>
      </vt:variant>
      <vt:variant>
        <vt:i4>0</vt:i4>
      </vt:variant>
      <vt:variant>
        <vt:i4>5</vt:i4>
      </vt:variant>
      <vt:variant>
        <vt:lpwstr/>
      </vt:variant>
      <vt:variant>
        <vt:lpwstr>_Toc77169823</vt:lpwstr>
      </vt:variant>
      <vt:variant>
        <vt:i4>1835069</vt:i4>
      </vt:variant>
      <vt:variant>
        <vt:i4>98</vt:i4>
      </vt:variant>
      <vt:variant>
        <vt:i4>0</vt:i4>
      </vt:variant>
      <vt:variant>
        <vt:i4>5</vt:i4>
      </vt:variant>
      <vt:variant>
        <vt:lpwstr/>
      </vt:variant>
      <vt:variant>
        <vt:lpwstr>_Toc77169822</vt:lpwstr>
      </vt:variant>
      <vt:variant>
        <vt:i4>2031677</vt:i4>
      </vt:variant>
      <vt:variant>
        <vt:i4>92</vt:i4>
      </vt:variant>
      <vt:variant>
        <vt:i4>0</vt:i4>
      </vt:variant>
      <vt:variant>
        <vt:i4>5</vt:i4>
      </vt:variant>
      <vt:variant>
        <vt:lpwstr/>
      </vt:variant>
      <vt:variant>
        <vt:lpwstr>_Toc77169821</vt:lpwstr>
      </vt:variant>
      <vt:variant>
        <vt:i4>1966141</vt:i4>
      </vt:variant>
      <vt:variant>
        <vt:i4>86</vt:i4>
      </vt:variant>
      <vt:variant>
        <vt:i4>0</vt:i4>
      </vt:variant>
      <vt:variant>
        <vt:i4>5</vt:i4>
      </vt:variant>
      <vt:variant>
        <vt:lpwstr/>
      </vt:variant>
      <vt:variant>
        <vt:lpwstr>_Toc77169820</vt:lpwstr>
      </vt:variant>
      <vt:variant>
        <vt:i4>1507390</vt:i4>
      </vt:variant>
      <vt:variant>
        <vt:i4>80</vt:i4>
      </vt:variant>
      <vt:variant>
        <vt:i4>0</vt:i4>
      </vt:variant>
      <vt:variant>
        <vt:i4>5</vt:i4>
      </vt:variant>
      <vt:variant>
        <vt:lpwstr/>
      </vt:variant>
      <vt:variant>
        <vt:lpwstr>_Toc77169819</vt:lpwstr>
      </vt:variant>
      <vt:variant>
        <vt:i4>1441854</vt:i4>
      </vt:variant>
      <vt:variant>
        <vt:i4>74</vt:i4>
      </vt:variant>
      <vt:variant>
        <vt:i4>0</vt:i4>
      </vt:variant>
      <vt:variant>
        <vt:i4>5</vt:i4>
      </vt:variant>
      <vt:variant>
        <vt:lpwstr/>
      </vt:variant>
      <vt:variant>
        <vt:lpwstr>_Toc77169818</vt:lpwstr>
      </vt:variant>
      <vt:variant>
        <vt:i4>1638462</vt:i4>
      </vt:variant>
      <vt:variant>
        <vt:i4>68</vt:i4>
      </vt:variant>
      <vt:variant>
        <vt:i4>0</vt:i4>
      </vt:variant>
      <vt:variant>
        <vt:i4>5</vt:i4>
      </vt:variant>
      <vt:variant>
        <vt:lpwstr/>
      </vt:variant>
      <vt:variant>
        <vt:lpwstr>_Toc77169817</vt:lpwstr>
      </vt:variant>
      <vt:variant>
        <vt:i4>1572926</vt:i4>
      </vt:variant>
      <vt:variant>
        <vt:i4>62</vt:i4>
      </vt:variant>
      <vt:variant>
        <vt:i4>0</vt:i4>
      </vt:variant>
      <vt:variant>
        <vt:i4>5</vt:i4>
      </vt:variant>
      <vt:variant>
        <vt:lpwstr/>
      </vt:variant>
      <vt:variant>
        <vt:lpwstr>_Toc77169816</vt:lpwstr>
      </vt:variant>
      <vt:variant>
        <vt:i4>1769534</vt:i4>
      </vt:variant>
      <vt:variant>
        <vt:i4>56</vt:i4>
      </vt:variant>
      <vt:variant>
        <vt:i4>0</vt:i4>
      </vt:variant>
      <vt:variant>
        <vt:i4>5</vt:i4>
      </vt:variant>
      <vt:variant>
        <vt:lpwstr/>
      </vt:variant>
      <vt:variant>
        <vt:lpwstr>_Toc77169815</vt:lpwstr>
      </vt:variant>
      <vt:variant>
        <vt:i4>1703998</vt:i4>
      </vt:variant>
      <vt:variant>
        <vt:i4>50</vt:i4>
      </vt:variant>
      <vt:variant>
        <vt:i4>0</vt:i4>
      </vt:variant>
      <vt:variant>
        <vt:i4>5</vt:i4>
      </vt:variant>
      <vt:variant>
        <vt:lpwstr/>
      </vt:variant>
      <vt:variant>
        <vt:lpwstr>_Toc77169814</vt:lpwstr>
      </vt:variant>
      <vt:variant>
        <vt:i4>1900606</vt:i4>
      </vt:variant>
      <vt:variant>
        <vt:i4>44</vt:i4>
      </vt:variant>
      <vt:variant>
        <vt:i4>0</vt:i4>
      </vt:variant>
      <vt:variant>
        <vt:i4>5</vt:i4>
      </vt:variant>
      <vt:variant>
        <vt:lpwstr/>
      </vt:variant>
      <vt:variant>
        <vt:lpwstr>_Toc77169813</vt:lpwstr>
      </vt:variant>
      <vt:variant>
        <vt:i4>1835070</vt:i4>
      </vt:variant>
      <vt:variant>
        <vt:i4>38</vt:i4>
      </vt:variant>
      <vt:variant>
        <vt:i4>0</vt:i4>
      </vt:variant>
      <vt:variant>
        <vt:i4>5</vt:i4>
      </vt:variant>
      <vt:variant>
        <vt:lpwstr/>
      </vt:variant>
      <vt:variant>
        <vt:lpwstr>_Toc77169812</vt:lpwstr>
      </vt:variant>
      <vt:variant>
        <vt:i4>2031678</vt:i4>
      </vt:variant>
      <vt:variant>
        <vt:i4>32</vt:i4>
      </vt:variant>
      <vt:variant>
        <vt:i4>0</vt:i4>
      </vt:variant>
      <vt:variant>
        <vt:i4>5</vt:i4>
      </vt:variant>
      <vt:variant>
        <vt:lpwstr/>
      </vt:variant>
      <vt:variant>
        <vt:lpwstr>_Toc77169811</vt:lpwstr>
      </vt:variant>
      <vt:variant>
        <vt:i4>1966142</vt:i4>
      </vt:variant>
      <vt:variant>
        <vt:i4>26</vt:i4>
      </vt:variant>
      <vt:variant>
        <vt:i4>0</vt:i4>
      </vt:variant>
      <vt:variant>
        <vt:i4>5</vt:i4>
      </vt:variant>
      <vt:variant>
        <vt:lpwstr/>
      </vt:variant>
      <vt:variant>
        <vt:lpwstr>_Toc77169810</vt:lpwstr>
      </vt:variant>
      <vt:variant>
        <vt:i4>1507391</vt:i4>
      </vt:variant>
      <vt:variant>
        <vt:i4>20</vt:i4>
      </vt:variant>
      <vt:variant>
        <vt:i4>0</vt:i4>
      </vt:variant>
      <vt:variant>
        <vt:i4>5</vt:i4>
      </vt:variant>
      <vt:variant>
        <vt:lpwstr/>
      </vt:variant>
      <vt:variant>
        <vt:lpwstr>_Toc77169809</vt:lpwstr>
      </vt:variant>
      <vt:variant>
        <vt:i4>1441855</vt:i4>
      </vt:variant>
      <vt:variant>
        <vt:i4>14</vt:i4>
      </vt:variant>
      <vt:variant>
        <vt:i4>0</vt:i4>
      </vt:variant>
      <vt:variant>
        <vt:i4>5</vt:i4>
      </vt:variant>
      <vt:variant>
        <vt:lpwstr/>
      </vt:variant>
      <vt:variant>
        <vt:lpwstr>_Toc77169808</vt:lpwstr>
      </vt:variant>
      <vt:variant>
        <vt:i4>1638463</vt:i4>
      </vt:variant>
      <vt:variant>
        <vt:i4>8</vt:i4>
      </vt:variant>
      <vt:variant>
        <vt:i4>0</vt:i4>
      </vt:variant>
      <vt:variant>
        <vt:i4>5</vt:i4>
      </vt:variant>
      <vt:variant>
        <vt:lpwstr/>
      </vt:variant>
      <vt:variant>
        <vt:lpwstr>_Toc77169807</vt:lpwstr>
      </vt:variant>
      <vt:variant>
        <vt:i4>1572927</vt:i4>
      </vt:variant>
      <vt:variant>
        <vt:i4>2</vt:i4>
      </vt:variant>
      <vt:variant>
        <vt:i4>0</vt:i4>
      </vt:variant>
      <vt:variant>
        <vt:i4>5</vt:i4>
      </vt:variant>
      <vt:variant>
        <vt:lpwstr/>
      </vt:variant>
      <vt:variant>
        <vt:lpwstr>_Toc77169806</vt:lpwstr>
      </vt:variant>
      <vt:variant>
        <vt:i4>4456513</vt:i4>
      </vt:variant>
      <vt:variant>
        <vt:i4>3</vt:i4>
      </vt:variant>
      <vt:variant>
        <vt:i4>0</vt:i4>
      </vt:variant>
      <vt:variant>
        <vt:i4>5</vt:i4>
      </vt:variant>
      <vt:variant>
        <vt:lpwstr>https://www.gov.uk/evicting-tenants/section-21-and-section-8-notices</vt:lpwstr>
      </vt:variant>
      <vt:variant>
        <vt:lpwstr/>
      </vt:variant>
      <vt:variant>
        <vt:i4>3080222</vt:i4>
      </vt:variant>
      <vt:variant>
        <vt:i4>0</vt:i4>
      </vt:variant>
      <vt:variant>
        <vt:i4>0</vt:i4>
      </vt:variant>
      <vt:variant>
        <vt:i4>5</vt:i4>
      </vt:variant>
      <vt:variant>
        <vt:lpwstr>https://assets.publishing.service.gov.uk/government/uploads/system/uploads/attachment_data/file/956143/ASB_Statutory_Guidance.pdf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Hulme</dc:creator>
  <cp:lastModifiedBy>George Margetts</cp:lastModifiedBy>
  <cp:revision>2</cp:revision>
  <dcterms:created xsi:type="dcterms:W3CDTF">2022-10-18T09:06:00Z</dcterms:created>
  <dcterms:modified xsi:type="dcterms:W3CDTF">2022-10-18T09:06:00Z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1235680624</vt:i4>
  </property>
  <property fmtid="{D5CDD505-2E9C-101B-9397-08002B2CF9AE}" pid="3" name="ContentTypeId">
    <vt:lpwstr>0x010100F998C55BE68EA34C9494E152064292E7</vt:lpwstr>
  </property>
  <property fmtid="{D5CDD505-2E9C-101B-9397-08002B2CF9AE}" pid="4" name="MediaServiceImageTags">
    <vt:lpwstr/>
  </property>
</Properties>
</file>